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AF950" w14:textId="42B0EC72" w:rsidR="0077076B" w:rsidRPr="003B6C66" w:rsidRDefault="0077076B" w:rsidP="0077076B">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 xml:space="preserve">16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000237AD" w:rsidRPr="001F5F70">
        <w:rPr>
          <w:rFonts w:ascii="Arial" w:eastAsia="MS Mincho" w:hAnsi="Arial" w:cs="Arial"/>
          <w:b/>
          <w:bCs/>
          <w:sz w:val="22"/>
          <w:szCs w:val="22"/>
        </w:rPr>
        <w:t>2</w:t>
      </w:r>
      <w:r w:rsidR="000237AD">
        <w:rPr>
          <w:rFonts w:ascii="Arial" w:eastAsia="MS Mincho" w:hAnsi="Arial" w:cs="Arial"/>
          <w:b/>
          <w:bCs/>
          <w:sz w:val="22"/>
          <w:szCs w:val="22"/>
        </w:rPr>
        <w:t>400262</w:t>
      </w:r>
    </w:p>
    <w:bookmarkEnd w:id="0"/>
    <w:bookmarkEnd w:id="1"/>
    <w:p w14:paraId="4E6B489B" w14:textId="77777777" w:rsidR="0077076B" w:rsidRPr="001D1E06" w:rsidRDefault="0077076B" w:rsidP="0077076B">
      <w:pPr>
        <w:tabs>
          <w:tab w:val="center" w:pos="4536"/>
          <w:tab w:val="right" w:pos="9072"/>
        </w:tabs>
        <w:spacing w:before="120"/>
        <w:rPr>
          <w:rFonts w:ascii="Arial" w:eastAsia="MS Mincho" w:hAnsi="Arial" w:cs="Arial"/>
          <w:b/>
          <w:bCs/>
          <w:sz w:val="22"/>
          <w:szCs w:val="22"/>
          <w:lang w:eastAsia="ja-JP"/>
        </w:rPr>
      </w:pPr>
      <w:r w:rsidRPr="001D1E06">
        <w:rPr>
          <w:rFonts w:ascii="Arial" w:eastAsia="MS Mincho" w:hAnsi="Arial" w:cs="Arial"/>
          <w:b/>
          <w:bCs/>
          <w:sz w:val="22"/>
          <w:szCs w:val="22"/>
          <w:lang w:eastAsia="ja-JP"/>
        </w:rPr>
        <w:t>Athens, Greece, February 26</w:t>
      </w:r>
      <w:r w:rsidRPr="001D1E06">
        <w:rPr>
          <w:rFonts w:ascii="Malgun Gothic" w:eastAsia="Malgun Gothic" w:hAnsi="Malgun Gothic" w:cs="Malgun Gothic" w:hint="eastAsia"/>
          <w:b/>
          <w:bCs/>
          <w:sz w:val="22"/>
          <w:szCs w:val="22"/>
          <w:vertAlign w:val="superscript"/>
          <w:lang w:eastAsia="ko-KR"/>
        </w:rPr>
        <w:t>th</w:t>
      </w:r>
      <w:r w:rsidRPr="001D1E06">
        <w:rPr>
          <w:rFonts w:ascii="Arial" w:eastAsia="MS Mincho" w:hAnsi="Arial" w:cs="Arial"/>
          <w:b/>
          <w:bCs/>
          <w:sz w:val="22"/>
          <w:szCs w:val="22"/>
          <w:lang w:eastAsia="ja-JP"/>
        </w:rPr>
        <w:t xml:space="preserve"> </w:t>
      </w:r>
      <w:r w:rsidRPr="001D1E06">
        <w:rPr>
          <w:rFonts w:ascii="Arial" w:hAnsi="Arial" w:cs="Arial"/>
          <w:b/>
          <w:bCs/>
          <w:sz w:val="22"/>
          <w:szCs w:val="22"/>
        </w:rPr>
        <w:t>– March 1</w:t>
      </w:r>
      <w:r w:rsidRPr="001D1E06">
        <w:rPr>
          <w:rFonts w:ascii="Arial" w:hAnsi="Arial" w:cs="Arial"/>
          <w:b/>
          <w:bCs/>
          <w:sz w:val="22"/>
          <w:szCs w:val="22"/>
          <w:vertAlign w:val="superscript"/>
        </w:rPr>
        <w:t>st</w:t>
      </w:r>
      <w:r w:rsidRPr="001D1E06">
        <w:rPr>
          <w:rFonts w:ascii="Arial" w:eastAsia="MS Mincho" w:hAnsi="Arial" w:cs="Arial"/>
          <w:b/>
          <w:bCs/>
          <w:sz w:val="22"/>
          <w:szCs w:val="22"/>
          <w:lang w:eastAsia="ja-JP"/>
        </w:rPr>
        <w:t>, 2024</w:t>
      </w:r>
    </w:p>
    <w:p w14:paraId="04CD3449" w14:textId="77777777" w:rsidR="0077076B" w:rsidRDefault="0077076B" w:rsidP="0077076B">
      <w:pPr>
        <w:pStyle w:val="af"/>
        <w:tabs>
          <w:tab w:val="left" w:pos="1800"/>
        </w:tabs>
        <w:spacing w:before="120"/>
        <w:ind w:left="1800" w:hanging="1800"/>
        <w:rPr>
          <w:rFonts w:cs="Arial"/>
          <w:sz w:val="22"/>
        </w:rPr>
      </w:pPr>
    </w:p>
    <w:p w14:paraId="4F5B7D0E" w14:textId="77777777" w:rsidR="0077076B" w:rsidRPr="004C6D63" w:rsidRDefault="0077076B" w:rsidP="0077076B">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03D96632" w14:textId="77777777" w:rsidR="0077076B" w:rsidRDefault="0077076B" w:rsidP="0077076B">
      <w:pPr>
        <w:pStyle w:val="af"/>
        <w:tabs>
          <w:tab w:val="left" w:pos="1800"/>
        </w:tabs>
        <w:spacing w:before="120"/>
        <w:rPr>
          <w:rFonts w:eastAsia="宋体" w:cs="Arial"/>
          <w:sz w:val="22"/>
          <w:lang w:eastAsia="zh-CN"/>
        </w:rPr>
      </w:pPr>
      <w:r>
        <w:rPr>
          <w:rFonts w:cs="Arial"/>
          <w:sz w:val="22"/>
        </w:rPr>
        <w:t>Title:</w:t>
      </w:r>
      <w:r>
        <w:rPr>
          <w:rFonts w:cs="Arial"/>
          <w:sz w:val="22"/>
        </w:rPr>
        <w:tab/>
      </w:r>
      <w:r w:rsidRPr="00351A24">
        <w:rPr>
          <w:rFonts w:cs="Arial"/>
          <w:sz w:val="22"/>
        </w:rPr>
        <w:t xml:space="preserve">Discussions on </w:t>
      </w:r>
      <w:r>
        <w:rPr>
          <w:rFonts w:cs="Arial"/>
          <w:sz w:val="22"/>
        </w:rPr>
        <w:t>IoT-NTN uplink capacity enhancement</w:t>
      </w:r>
    </w:p>
    <w:p w14:paraId="4632330D" w14:textId="77777777" w:rsidR="0077076B" w:rsidRDefault="0077076B" w:rsidP="0077076B">
      <w:pPr>
        <w:pStyle w:val="af"/>
        <w:tabs>
          <w:tab w:val="left" w:pos="1800"/>
        </w:tabs>
        <w:spacing w:before="120"/>
        <w:rPr>
          <w:rFonts w:eastAsia="宋体" w:cs="Arial"/>
          <w:sz w:val="22"/>
          <w:lang w:eastAsia="zh-CN"/>
        </w:rPr>
      </w:pPr>
      <w:r>
        <w:rPr>
          <w:rFonts w:cs="Arial"/>
          <w:sz w:val="22"/>
        </w:rPr>
        <w:t>Agenda Item:</w:t>
      </w:r>
      <w:r>
        <w:rPr>
          <w:rFonts w:cs="Arial"/>
          <w:sz w:val="22"/>
        </w:rPr>
        <w:tab/>
        <w:t>9.11.4</w:t>
      </w:r>
    </w:p>
    <w:p w14:paraId="0EDD5DFB" w14:textId="77777777" w:rsidR="0077076B" w:rsidRDefault="0077076B" w:rsidP="0077076B">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D6B1B02" w14:textId="77777777" w:rsidR="0077076B" w:rsidRDefault="0077076B" w:rsidP="0077076B">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70F7F7BC" w14:textId="77777777" w:rsidR="0077076B" w:rsidRPr="00473144" w:rsidRDefault="0077076B" w:rsidP="0077076B">
      <w:pPr>
        <w:spacing w:beforeLines="0" w:before="0"/>
        <w:rPr>
          <w:rFonts w:eastAsia="宋体"/>
          <w:lang w:val="en-GB" w:eastAsia="zh-CN"/>
        </w:rPr>
      </w:pPr>
      <w:r w:rsidRPr="00134B7D">
        <w:rPr>
          <w:bCs/>
        </w:rPr>
        <w:t>The Rel-1</w:t>
      </w:r>
      <w:r>
        <w:rPr>
          <w:bCs/>
        </w:rPr>
        <w:t>9 NR</w:t>
      </w:r>
      <w:r w:rsidRPr="00134B7D">
        <w:rPr>
          <w:bCs/>
        </w:rPr>
        <w:t xml:space="preserve"> NTN objectives</w:t>
      </w:r>
      <w:r>
        <w:rPr>
          <w:bCs/>
        </w:rPr>
        <w:t xml:space="preserve"> for IoT NTN uplink capacity enhancement</w:t>
      </w:r>
      <w:r w:rsidRPr="00134B7D">
        <w:rPr>
          <w:bCs/>
        </w:rPr>
        <w:t xml:space="preserve"> </w:t>
      </w:r>
      <w:r>
        <w:rPr>
          <w:bCs/>
        </w:rPr>
        <w:t xml:space="preserve">listed below provided in </w:t>
      </w:r>
      <w:r>
        <w:rPr>
          <w:bCs/>
        </w:rPr>
        <w:fldChar w:fldCharType="begin"/>
      </w:r>
      <w:r>
        <w:rPr>
          <w:bCs/>
        </w:rPr>
        <w:instrText xml:space="preserve"> REF _Ref101885779 \n \h </w:instrText>
      </w:r>
      <w:r>
        <w:rPr>
          <w:bCs/>
        </w:rPr>
      </w:r>
      <w:r>
        <w:rPr>
          <w:bCs/>
        </w:rPr>
        <w:fldChar w:fldCharType="separate"/>
      </w:r>
      <w:r>
        <w:rPr>
          <w:bCs/>
        </w:rPr>
        <w:t>[1]</w:t>
      </w:r>
      <w:r>
        <w:rPr>
          <w:bCs/>
        </w:rPr>
        <w:fldChar w:fldCharType="end"/>
      </w:r>
      <w:r>
        <w:rPr>
          <w:bCs/>
        </w:rPr>
        <w:t xml:space="preserve"> </w:t>
      </w:r>
      <w:r w:rsidRPr="00134B7D">
        <w:rPr>
          <w:bCs/>
        </w:rPr>
        <w:t>focus</w:t>
      </w:r>
      <w:r>
        <w:rPr>
          <w:bCs/>
        </w:rPr>
        <w:t xml:space="preserve"> more</w:t>
      </w:r>
      <w:r w:rsidRPr="00134B7D">
        <w:rPr>
          <w:bCs/>
        </w:rPr>
        <w:t xml:space="preserve"> </w:t>
      </w:r>
      <w:r>
        <w:rPr>
          <w:bCs/>
        </w:rPr>
        <w:t>on the following</w:t>
      </w:r>
      <w:r w:rsidRPr="00134B7D">
        <w:rPr>
          <w:bCs/>
        </w:rPr>
        <w:t>.</w:t>
      </w:r>
    </w:p>
    <w:p w14:paraId="73E7E998" w14:textId="77777777" w:rsidR="0077076B" w:rsidRPr="007A3ECF" w:rsidRDefault="0077076B" w:rsidP="0077076B">
      <w:pPr>
        <w:spacing w:beforeLines="0" w:before="0" w:after="0"/>
        <w:rPr>
          <w:rFonts w:eastAsia="宋体"/>
          <w:lang w:val="en-GB" w:eastAsia="zh-CN"/>
        </w:rPr>
      </w:pPr>
    </w:p>
    <w:tbl>
      <w:tblPr>
        <w:tblStyle w:val="af6"/>
        <w:tblW w:w="0" w:type="auto"/>
        <w:tblLook w:val="04A0" w:firstRow="1" w:lastRow="0" w:firstColumn="1" w:lastColumn="0" w:noHBand="0" w:noVBand="1"/>
      </w:tblPr>
      <w:tblGrid>
        <w:gridCol w:w="9631"/>
      </w:tblGrid>
      <w:tr w:rsidR="0077076B" w14:paraId="6A04EB7D" w14:textId="77777777" w:rsidTr="00C430F2">
        <w:trPr>
          <w:trHeight w:val="4001"/>
        </w:trPr>
        <w:tc>
          <w:tcPr>
            <w:tcW w:w="9631" w:type="dxa"/>
            <w:shd w:val="clear" w:color="auto" w:fill="auto"/>
          </w:tcPr>
          <w:p w14:paraId="22F967A1" w14:textId="77777777" w:rsidR="0077076B" w:rsidRPr="00702D0A" w:rsidRDefault="0077076B" w:rsidP="00C430F2">
            <w:pPr>
              <w:numPr>
                <w:ilvl w:val="0"/>
                <w:numId w:val="7"/>
              </w:numPr>
              <w:overflowPunct w:val="0"/>
              <w:autoSpaceDE w:val="0"/>
              <w:autoSpaceDN w:val="0"/>
              <w:adjustRightInd w:val="0"/>
              <w:spacing w:beforeLines="0" w:after="0" w:line="360" w:lineRule="auto"/>
              <w:jc w:val="left"/>
              <w:textAlignment w:val="baseline"/>
              <w:rPr>
                <w:bCs/>
              </w:rPr>
            </w:pPr>
            <w:r w:rsidRPr="00702D0A">
              <w:rPr>
                <w:bCs/>
              </w:rPr>
              <w:t>Support of Capacity enhancements for uplink</w:t>
            </w:r>
          </w:p>
          <w:p w14:paraId="55094542" w14:textId="77777777" w:rsidR="0077076B" w:rsidRPr="00702D0A" w:rsidRDefault="0077076B" w:rsidP="00C430F2">
            <w:pPr>
              <w:numPr>
                <w:ilvl w:val="1"/>
                <w:numId w:val="7"/>
              </w:numPr>
              <w:overflowPunct w:val="0"/>
              <w:autoSpaceDE w:val="0"/>
              <w:autoSpaceDN w:val="0"/>
              <w:adjustRightInd w:val="0"/>
              <w:spacing w:beforeLines="0" w:before="0" w:after="0" w:line="360" w:lineRule="auto"/>
              <w:jc w:val="left"/>
              <w:textAlignment w:val="baseline"/>
              <w:rPr>
                <w:bCs/>
              </w:rPr>
            </w:pPr>
            <w:r w:rsidRPr="00702D0A">
              <w:rPr>
                <w:bCs/>
              </w:rPr>
              <w:t xml:space="preserve">Study then specify,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p>
          <w:p w14:paraId="5FB2D08A" w14:textId="77777777" w:rsidR="0077076B" w:rsidRPr="00702D0A" w:rsidRDefault="0077076B" w:rsidP="00C430F2">
            <w:pPr>
              <w:numPr>
                <w:ilvl w:val="2"/>
                <w:numId w:val="7"/>
              </w:numPr>
              <w:overflowPunct w:val="0"/>
              <w:autoSpaceDE w:val="0"/>
              <w:autoSpaceDN w:val="0"/>
              <w:adjustRightInd w:val="0"/>
              <w:spacing w:beforeLines="0" w:before="0" w:after="0" w:line="360" w:lineRule="auto"/>
              <w:jc w:val="left"/>
              <w:textAlignment w:val="baseline"/>
              <w:rPr>
                <w:bCs/>
              </w:rPr>
            </w:pPr>
            <w:r w:rsidRPr="00702D0A">
              <w:rPr>
                <w:bCs/>
              </w:rPr>
              <w:t>Multi-tone support for 15 kHz SCS should also be considered</w:t>
            </w:r>
          </w:p>
          <w:p w14:paraId="69F7169F" w14:textId="77777777" w:rsidR="0077076B" w:rsidRPr="00947442" w:rsidRDefault="0077076B" w:rsidP="00C430F2">
            <w:pPr>
              <w:spacing w:before="120" w:after="0" w:line="360" w:lineRule="auto"/>
              <w:ind w:left="1080" w:firstLine="720"/>
              <w:rPr>
                <w:bCs/>
              </w:rPr>
            </w:pPr>
            <w:r w:rsidRPr="00947442">
              <w:rPr>
                <w:bCs/>
              </w:rPr>
              <w:t>Note: Impact of impairment shall be taken into account</w:t>
            </w:r>
          </w:p>
          <w:p w14:paraId="472BBF75" w14:textId="77777777" w:rsidR="0077076B" w:rsidRPr="00EE0477" w:rsidRDefault="0077076B" w:rsidP="00C430F2">
            <w:pPr>
              <w:numPr>
                <w:ilvl w:val="1"/>
                <w:numId w:val="7"/>
              </w:numPr>
              <w:tabs>
                <w:tab w:val="num" w:pos="720"/>
              </w:tabs>
              <w:overflowPunct w:val="0"/>
              <w:autoSpaceDE w:val="0"/>
              <w:autoSpaceDN w:val="0"/>
              <w:adjustRightInd w:val="0"/>
              <w:spacing w:beforeLines="0" w:before="0" w:after="0" w:line="360" w:lineRule="auto"/>
              <w:jc w:val="left"/>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745CC258" w14:textId="77777777" w:rsidR="0077076B" w:rsidRPr="00EE0477" w:rsidRDefault="0077076B" w:rsidP="00C430F2">
            <w:pPr>
              <w:numPr>
                <w:ilvl w:val="2"/>
                <w:numId w:val="7"/>
              </w:numPr>
              <w:overflowPunct w:val="0"/>
              <w:autoSpaceDE w:val="0"/>
              <w:autoSpaceDN w:val="0"/>
              <w:adjustRightInd w:val="0"/>
              <w:spacing w:beforeLines="0" w:before="0" w:after="0" w:line="360" w:lineRule="auto"/>
              <w:jc w:val="left"/>
              <w:textAlignment w:val="baseline"/>
              <w:rPr>
                <w:bCs/>
              </w:rPr>
            </w:pPr>
            <w:r w:rsidRPr="00EE0477">
              <w:rPr>
                <w:bCs/>
              </w:rPr>
              <w:t>Msg3 transmission without msg1/RAR</w:t>
            </w:r>
          </w:p>
          <w:p w14:paraId="259897D1" w14:textId="77777777" w:rsidR="0077076B" w:rsidRPr="00FE69D1" w:rsidRDefault="0077076B" w:rsidP="00C430F2">
            <w:pPr>
              <w:numPr>
                <w:ilvl w:val="2"/>
                <w:numId w:val="7"/>
              </w:numPr>
              <w:overflowPunct w:val="0"/>
              <w:autoSpaceDE w:val="0"/>
              <w:autoSpaceDN w:val="0"/>
              <w:adjustRightInd w:val="0"/>
              <w:spacing w:beforeLines="0" w:before="0" w:after="0" w:line="360" w:lineRule="auto"/>
              <w:jc w:val="left"/>
              <w:textAlignment w:val="baseline"/>
              <w:rPr>
                <w:bCs/>
              </w:rPr>
            </w:pPr>
            <w:r w:rsidRPr="00EE0477">
              <w:rPr>
                <w:bCs/>
              </w:rPr>
              <w:t xml:space="preserve">Efficient delivery (reduced overhead) of msg4 / </w:t>
            </w:r>
            <w:proofErr w:type="spellStart"/>
            <w:r w:rsidRPr="00EE0477">
              <w:rPr>
                <w:bCs/>
              </w:rPr>
              <w:t>RRCEarlyDataComplete</w:t>
            </w:r>
            <w:proofErr w:type="spellEnd"/>
          </w:p>
        </w:tc>
      </w:tr>
    </w:tbl>
    <w:p w14:paraId="59CB0DF3" w14:textId="77777777" w:rsidR="0077076B" w:rsidRDefault="0077076B" w:rsidP="0077076B">
      <w:pPr>
        <w:spacing w:beforeLines="0" w:before="0" w:after="0"/>
        <w:rPr>
          <w:rFonts w:eastAsia="宋体"/>
          <w:lang w:val="en-GB" w:eastAsia="zh-CN"/>
        </w:rPr>
      </w:pPr>
    </w:p>
    <w:p w14:paraId="5DE30090" w14:textId="77777777" w:rsidR="0077076B" w:rsidRPr="00047F88" w:rsidRDefault="0077076B" w:rsidP="0077076B">
      <w:pPr>
        <w:spacing w:beforeLines="0" w:before="0" w:after="0"/>
        <w:rPr>
          <w:highlight w:val="yellow"/>
        </w:rPr>
      </w:pPr>
      <w:r>
        <w:rPr>
          <w:rFonts w:eastAsia="宋体"/>
          <w:lang w:val="en-GB" w:eastAsia="zh-CN"/>
        </w:rPr>
        <w:t>In this contribution, we discuss and provide our views on the objectives of IoT NTN uplink capacity enhancement.</w:t>
      </w:r>
    </w:p>
    <w:p w14:paraId="6899739E" w14:textId="77777777" w:rsidR="0077076B" w:rsidRDefault="0077076B" w:rsidP="0077076B">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61F57666" w14:textId="77777777" w:rsidR="0077076B" w:rsidRPr="008445C8" w:rsidRDefault="0077076B" w:rsidP="0077076B">
      <w:pPr>
        <w:pStyle w:val="2"/>
        <w:spacing w:before="120"/>
        <w:rPr>
          <w:rFonts w:eastAsiaTheme="minorEastAsia"/>
          <w:lang w:eastAsia="zh-CN"/>
        </w:rPr>
      </w:pPr>
      <w:r>
        <w:rPr>
          <w:rFonts w:eastAsiaTheme="minorEastAsia" w:hint="eastAsia"/>
          <w:lang w:eastAsia="zh-CN"/>
        </w:rPr>
        <w:t>N</w:t>
      </w:r>
      <w:r>
        <w:rPr>
          <w:rFonts w:eastAsiaTheme="minorEastAsia"/>
          <w:lang w:eastAsia="zh-CN"/>
        </w:rPr>
        <w:t>PRACH</w:t>
      </w:r>
    </w:p>
    <w:p w14:paraId="20CC0684" w14:textId="77777777" w:rsidR="0077076B" w:rsidRDefault="0077076B" w:rsidP="0077076B">
      <w:pPr>
        <w:spacing w:beforeLines="0" w:before="120" w:after="0"/>
        <w:rPr>
          <w:rFonts w:eastAsiaTheme="minorEastAsia"/>
          <w:lang w:eastAsia="zh-CN"/>
        </w:rPr>
      </w:pPr>
      <w:r>
        <w:rPr>
          <w:rFonts w:eastAsiaTheme="minorEastAsia"/>
          <w:lang w:eastAsia="zh-CN"/>
        </w:rPr>
        <w:t xml:space="preserve">In Rel-18 IoT NTN, only FDD mode is considered. </w:t>
      </w:r>
      <w:r>
        <w:rPr>
          <w:rFonts w:eastAsiaTheme="minorEastAsia" w:hint="eastAsia"/>
          <w:lang w:eastAsia="zh-CN"/>
        </w:rPr>
        <w:t>A</w:t>
      </w:r>
      <w:r>
        <w:rPr>
          <w:rFonts w:eastAsiaTheme="minorEastAsia"/>
          <w:lang w:eastAsia="zh-CN"/>
        </w:rPr>
        <w:t>ccording to WID above, OCC is considered for NPRACH with 3.75kH</w:t>
      </w:r>
      <w:r>
        <w:rPr>
          <w:rFonts w:eastAsiaTheme="minorEastAsia" w:hint="eastAsia"/>
          <w:lang w:eastAsia="zh-CN"/>
        </w:rPr>
        <w:t>z</w:t>
      </w:r>
      <w:r>
        <w:rPr>
          <w:rFonts w:eastAsiaTheme="minorEastAsia"/>
          <w:lang w:eastAsia="zh-CN"/>
        </w:rPr>
        <w:t xml:space="preserve"> SCS. And under frame structure type 1 </w:t>
      </w:r>
      <w:r>
        <w:rPr>
          <w:rFonts w:eastAsiaTheme="minorEastAsia" w:hint="eastAsia"/>
          <w:lang w:eastAsia="zh-CN"/>
        </w:rPr>
        <w:t>(</w:t>
      </w:r>
      <w:r>
        <w:rPr>
          <w:rFonts w:eastAsiaTheme="minorEastAsia"/>
          <w:lang w:eastAsia="zh-CN"/>
        </w:rPr>
        <w:t xml:space="preserve">for FDD only), only NPRACH format 0 and format 1 support 3.75kHz SCS as follow. </w:t>
      </w:r>
      <w:r>
        <w:rPr>
          <w:rFonts w:eastAsiaTheme="minorEastAsia" w:hint="eastAsia"/>
          <w:lang w:eastAsia="zh-CN"/>
        </w:rPr>
        <w:t>T</w:t>
      </w:r>
      <w:r>
        <w:rPr>
          <w:rFonts w:eastAsiaTheme="minorEastAsia"/>
          <w:lang w:eastAsia="zh-CN"/>
        </w:rPr>
        <w:t xml:space="preserve">hus, only NPRACH format 0 and format 1 are considered. </w:t>
      </w:r>
    </w:p>
    <w:p w14:paraId="4E22B92A" w14:textId="77777777" w:rsidR="0077076B" w:rsidRPr="004F7036" w:rsidRDefault="0077076B" w:rsidP="0077076B">
      <w:pPr>
        <w:keepNext/>
        <w:keepLines/>
        <w:spacing w:beforeLines="0" w:before="60" w:after="0"/>
        <w:jc w:val="center"/>
        <w:rPr>
          <w:rFonts w:eastAsia="等线"/>
          <w:szCs w:val="20"/>
          <w:lang w:val="en-GB"/>
        </w:rPr>
      </w:pPr>
      <w:r w:rsidRPr="004F7036">
        <w:rPr>
          <w:rFonts w:eastAsia="等线"/>
          <w:szCs w:val="20"/>
          <w:lang w:val="en-GB"/>
        </w:rPr>
        <w:t>Table 10.1.6.2-1</w:t>
      </w:r>
      <w:r>
        <w:rPr>
          <w:rFonts w:eastAsia="等线"/>
          <w:szCs w:val="20"/>
          <w:lang w:val="en-GB"/>
        </w:rPr>
        <w:t xml:space="preserve"> in TS36.211</w:t>
      </w:r>
      <w:r w:rsidRPr="004F7036">
        <w:rPr>
          <w:rFonts w:eastAsia="等线"/>
          <w:szCs w:val="20"/>
          <w:lang w:val="en-GB"/>
        </w:rPr>
        <w:t>: Random access baseband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931"/>
        <w:gridCol w:w="1931"/>
      </w:tblGrid>
      <w:tr w:rsidR="0077076B" w:rsidRPr="004F7036" w14:paraId="737C4554" w14:textId="77777777" w:rsidTr="00C430F2">
        <w:trPr>
          <w:cantSplit/>
          <w:jc w:val="center"/>
        </w:trPr>
        <w:tc>
          <w:tcPr>
            <w:tcW w:w="0" w:type="auto"/>
            <w:vMerge w:val="restart"/>
            <w:shd w:val="clear" w:color="auto" w:fill="E0E0E0"/>
            <w:vAlign w:val="center"/>
          </w:tcPr>
          <w:p w14:paraId="2526577A" w14:textId="77777777" w:rsidR="0077076B" w:rsidRPr="004F7036" w:rsidRDefault="0077076B" w:rsidP="00C430F2">
            <w:pPr>
              <w:keepNext/>
              <w:keepLines/>
              <w:spacing w:beforeLines="0" w:before="0" w:after="0"/>
              <w:jc w:val="center"/>
              <w:rPr>
                <w:rFonts w:eastAsia="等线"/>
                <w:sz w:val="18"/>
                <w:szCs w:val="20"/>
                <w:lang w:val="en-GB"/>
              </w:rPr>
            </w:pPr>
            <w:r w:rsidRPr="004F7036">
              <w:rPr>
                <w:rFonts w:eastAsia="等线"/>
                <w:sz w:val="18"/>
                <w:szCs w:val="20"/>
                <w:lang w:val="en-GB"/>
              </w:rPr>
              <w:t>Preamble format</w:t>
            </w:r>
          </w:p>
        </w:tc>
        <w:tc>
          <w:tcPr>
            <w:tcW w:w="0" w:type="auto"/>
            <w:gridSpan w:val="2"/>
            <w:shd w:val="clear" w:color="auto" w:fill="E0E0E0"/>
            <w:vAlign w:val="center"/>
          </w:tcPr>
          <w:p w14:paraId="4AF6A748" w14:textId="77777777" w:rsidR="0077076B" w:rsidRPr="004F7036" w:rsidRDefault="0077076B" w:rsidP="00C430F2">
            <w:pPr>
              <w:keepNext/>
              <w:keepLines/>
              <w:spacing w:beforeLines="0" w:before="0" w:after="0"/>
              <w:jc w:val="center"/>
              <w:rPr>
                <w:rFonts w:eastAsia="等线"/>
                <w:sz w:val="18"/>
                <w:szCs w:val="20"/>
                <w:lang w:val="en-GB"/>
              </w:rPr>
            </w:pPr>
            <w:r w:rsidRPr="004F7036">
              <w:rPr>
                <w:rFonts w:eastAsia="等线"/>
                <w:noProof/>
                <w:position w:val="-10"/>
                <w:sz w:val="18"/>
                <w:szCs w:val="20"/>
                <w:lang w:val="en-GB"/>
              </w:rPr>
              <w:drawing>
                <wp:inline distT="0" distB="0" distL="0" distR="0" wp14:anchorId="43234E74" wp14:editId="3C859FB1">
                  <wp:extent cx="276225" cy="180975"/>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77076B" w:rsidRPr="004F7036" w14:paraId="4B3354AC" w14:textId="77777777" w:rsidTr="00C430F2">
        <w:trPr>
          <w:cantSplit/>
          <w:jc w:val="center"/>
        </w:trPr>
        <w:tc>
          <w:tcPr>
            <w:tcW w:w="0" w:type="auto"/>
            <w:vMerge/>
            <w:shd w:val="clear" w:color="auto" w:fill="E0E0E0"/>
            <w:vAlign w:val="center"/>
          </w:tcPr>
          <w:p w14:paraId="017C8EFF" w14:textId="77777777" w:rsidR="0077076B" w:rsidRPr="004F7036" w:rsidRDefault="0077076B" w:rsidP="00C430F2">
            <w:pPr>
              <w:keepNext/>
              <w:keepLines/>
              <w:spacing w:beforeLines="0" w:before="0" w:after="0"/>
              <w:jc w:val="center"/>
              <w:rPr>
                <w:rFonts w:eastAsia="等线"/>
                <w:sz w:val="18"/>
                <w:szCs w:val="20"/>
                <w:lang w:val="en-GB"/>
              </w:rPr>
            </w:pPr>
          </w:p>
        </w:tc>
        <w:tc>
          <w:tcPr>
            <w:tcW w:w="0" w:type="auto"/>
            <w:shd w:val="clear" w:color="auto" w:fill="E0E0E0"/>
            <w:vAlign w:val="center"/>
          </w:tcPr>
          <w:p w14:paraId="22867A45" w14:textId="77777777" w:rsidR="0077076B" w:rsidRPr="004F7036" w:rsidRDefault="0077076B" w:rsidP="00C430F2">
            <w:pPr>
              <w:keepNext/>
              <w:keepLines/>
              <w:spacing w:beforeLines="0" w:before="0" w:after="0"/>
              <w:jc w:val="center"/>
              <w:rPr>
                <w:rFonts w:eastAsia="等线"/>
                <w:sz w:val="18"/>
                <w:szCs w:val="20"/>
                <w:lang w:val="en-GB"/>
              </w:rPr>
            </w:pPr>
            <w:r w:rsidRPr="004F7036">
              <w:rPr>
                <w:rFonts w:eastAsia="等线"/>
                <w:sz w:val="18"/>
                <w:szCs w:val="20"/>
                <w:lang w:val="en-GB"/>
              </w:rPr>
              <w:t>Frame Structure Type 1</w:t>
            </w:r>
          </w:p>
        </w:tc>
        <w:tc>
          <w:tcPr>
            <w:tcW w:w="0" w:type="auto"/>
            <w:shd w:val="clear" w:color="auto" w:fill="E0E0E0"/>
          </w:tcPr>
          <w:p w14:paraId="1C0D744C" w14:textId="77777777" w:rsidR="0077076B" w:rsidRPr="004F7036" w:rsidRDefault="0077076B" w:rsidP="00C430F2">
            <w:pPr>
              <w:keepNext/>
              <w:keepLines/>
              <w:spacing w:beforeLines="0" w:before="0" w:after="0"/>
              <w:jc w:val="center"/>
              <w:rPr>
                <w:rFonts w:eastAsia="等线"/>
                <w:sz w:val="18"/>
                <w:szCs w:val="20"/>
                <w:lang w:val="en-GB"/>
              </w:rPr>
            </w:pPr>
            <w:r w:rsidRPr="004F7036">
              <w:rPr>
                <w:rFonts w:eastAsia="等线"/>
                <w:sz w:val="18"/>
                <w:szCs w:val="20"/>
                <w:lang w:val="en-GB"/>
              </w:rPr>
              <w:t>Frame Structure Type 2</w:t>
            </w:r>
          </w:p>
        </w:tc>
      </w:tr>
      <w:tr w:rsidR="0077076B" w:rsidRPr="004F7036" w14:paraId="35C42057" w14:textId="77777777" w:rsidTr="00C430F2">
        <w:trPr>
          <w:cantSplit/>
          <w:jc w:val="center"/>
        </w:trPr>
        <w:tc>
          <w:tcPr>
            <w:tcW w:w="0" w:type="auto"/>
            <w:shd w:val="clear" w:color="auto" w:fill="auto"/>
            <w:vAlign w:val="center"/>
          </w:tcPr>
          <w:p w14:paraId="0B443081" w14:textId="77777777" w:rsidR="0077076B" w:rsidRPr="004F7036" w:rsidRDefault="0077076B" w:rsidP="00C430F2">
            <w:pPr>
              <w:keepNext/>
              <w:keepLines/>
              <w:spacing w:beforeLines="0" w:before="0" w:after="0"/>
              <w:jc w:val="center"/>
              <w:rPr>
                <w:rFonts w:eastAsia="等线"/>
                <w:sz w:val="18"/>
                <w:szCs w:val="20"/>
                <w:lang w:val="en-GB"/>
              </w:rPr>
            </w:pPr>
            <w:r w:rsidRPr="004F7036">
              <w:rPr>
                <w:rFonts w:eastAsia="等线"/>
                <w:sz w:val="18"/>
                <w:szCs w:val="20"/>
                <w:lang w:val="en-GB"/>
              </w:rPr>
              <w:t>0, 1</w:t>
            </w:r>
          </w:p>
        </w:tc>
        <w:tc>
          <w:tcPr>
            <w:tcW w:w="0" w:type="auto"/>
            <w:gridSpan w:val="2"/>
            <w:shd w:val="clear" w:color="auto" w:fill="auto"/>
            <w:vAlign w:val="center"/>
          </w:tcPr>
          <w:p w14:paraId="520570C5" w14:textId="77777777" w:rsidR="0077076B" w:rsidRPr="004F7036" w:rsidRDefault="0077076B" w:rsidP="00C430F2">
            <w:pPr>
              <w:keepNext/>
              <w:keepLines/>
              <w:spacing w:beforeLines="0" w:before="0" w:after="0"/>
              <w:jc w:val="center"/>
              <w:rPr>
                <w:rFonts w:eastAsia="等线"/>
                <w:sz w:val="18"/>
                <w:szCs w:val="20"/>
                <w:lang w:val="en-GB"/>
              </w:rPr>
            </w:pPr>
            <w:r w:rsidRPr="004F7036">
              <w:rPr>
                <w:rFonts w:eastAsia="等线"/>
                <w:sz w:val="18"/>
                <w:szCs w:val="20"/>
                <w:lang w:val="en-GB"/>
              </w:rPr>
              <w:t>3.75 kHz</w:t>
            </w:r>
          </w:p>
        </w:tc>
      </w:tr>
      <w:tr w:rsidR="0077076B" w:rsidRPr="004F7036" w14:paraId="2295DC00" w14:textId="77777777" w:rsidTr="00C430F2">
        <w:trPr>
          <w:cantSplit/>
          <w:jc w:val="center"/>
        </w:trPr>
        <w:tc>
          <w:tcPr>
            <w:tcW w:w="0" w:type="auto"/>
            <w:shd w:val="clear" w:color="auto" w:fill="auto"/>
            <w:vAlign w:val="center"/>
          </w:tcPr>
          <w:p w14:paraId="40197D3A" w14:textId="77777777" w:rsidR="0077076B" w:rsidRPr="004F7036" w:rsidRDefault="0077076B" w:rsidP="00C430F2">
            <w:pPr>
              <w:keepNext/>
              <w:keepLines/>
              <w:spacing w:beforeLines="0" w:before="0" w:after="0"/>
              <w:jc w:val="center"/>
              <w:rPr>
                <w:rFonts w:eastAsia="等线"/>
                <w:sz w:val="18"/>
                <w:szCs w:val="20"/>
                <w:lang w:val="en-GB"/>
              </w:rPr>
            </w:pPr>
            <w:r w:rsidRPr="004F7036">
              <w:rPr>
                <w:rFonts w:eastAsia="等线"/>
                <w:sz w:val="18"/>
                <w:szCs w:val="20"/>
                <w:lang w:val="en-GB"/>
              </w:rPr>
              <w:t>0-a, 1-a</w:t>
            </w:r>
          </w:p>
        </w:tc>
        <w:tc>
          <w:tcPr>
            <w:tcW w:w="0" w:type="auto"/>
            <w:shd w:val="clear" w:color="auto" w:fill="auto"/>
            <w:vAlign w:val="center"/>
          </w:tcPr>
          <w:p w14:paraId="2CE5E8D2" w14:textId="77777777" w:rsidR="0077076B" w:rsidRPr="004F7036" w:rsidRDefault="0077076B" w:rsidP="00C430F2">
            <w:pPr>
              <w:keepNext/>
              <w:keepLines/>
              <w:spacing w:beforeLines="0" w:before="0" w:after="0"/>
              <w:jc w:val="center"/>
              <w:rPr>
                <w:rFonts w:eastAsia="等线"/>
                <w:sz w:val="18"/>
                <w:szCs w:val="20"/>
                <w:lang w:val="en-GB"/>
              </w:rPr>
            </w:pPr>
          </w:p>
        </w:tc>
        <w:tc>
          <w:tcPr>
            <w:tcW w:w="0" w:type="auto"/>
            <w:vAlign w:val="center"/>
          </w:tcPr>
          <w:p w14:paraId="0B219676" w14:textId="77777777" w:rsidR="0077076B" w:rsidRPr="004F7036" w:rsidRDefault="0077076B" w:rsidP="00C430F2">
            <w:pPr>
              <w:keepNext/>
              <w:keepLines/>
              <w:spacing w:beforeLines="0" w:before="0" w:after="0"/>
              <w:jc w:val="center"/>
              <w:rPr>
                <w:rFonts w:eastAsia="等线"/>
                <w:sz w:val="18"/>
                <w:szCs w:val="20"/>
                <w:lang w:val="en-GB"/>
              </w:rPr>
            </w:pPr>
            <w:r w:rsidRPr="004F7036">
              <w:rPr>
                <w:rFonts w:eastAsia="等线"/>
                <w:sz w:val="18"/>
                <w:szCs w:val="20"/>
                <w:lang w:val="en-GB"/>
              </w:rPr>
              <w:t>3.75 kHz</w:t>
            </w:r>
          </w:p>
        </w:tc>
      </w:tr>
      <w:tr w:rsidR="0077076B" w:rsidRPr="004F7036" w14:paraId="20831324" w14:textId="77777777" w:rsidTr="00C430F2">
        <w:trPr>
          <w:cantSplit/>
          <w:jc w:val="center"/>
        </w:trPr>
        <w:tc>
          <w:tcPr>
            <w:tcW w:w="0" w:type="auto"/>
            <w:shd w:val="clear" w:color="auto" w:fill="auto"/>
            <w:vAlign w:val="center"/>
          </w:tcPr>
          <w:p w14:paraId="6A25A924" w14:textId="77777777" w:rsidR="0077076B" w:rsidRPr="004F7036" w:rsidRDefault="0077076B" w:rsidP="00C430F2">
            <w:pPr>
              <w:keepNext/>
              <w:keepLines/>
              <w:spacing w:beforeLines="0" w:before="0" w:after="0"/>
              <w:jc w:val="center"/>
              <w:rPr>
                <w:rFonts w:eastAsia="等线"/>
                <w:sz w:val="18"/>
                <w:szCs w:val="20"/>
                <w:lang w:val="en-GB"/>
              </w:rPr>
            </w:pPr>
            <w:r w:rsidRPr="004F7036">
              <w:rPr>
                <w:rFonts w:eastAsia="等线"/>
                <w:sz w:val="18"/>
                <w:szCs w:val="20"/>
                <w:lang w:val="en-GB"/>
              </w:rPr>
              <w:t>2</w:t>
            </w:r>
          </w:p>
        </w:tc>
        <w:tc>
          <w:tcPr>
            <w:tcW w:w="0" w:type="auto"/>
            <w:shd w:val="clear" w:color="auto" w:fill="auto"/>
            <w:vAlign w:val="center"/>
          </w:tcPr>
          <w:p w14:paraId="41D6AC4F" w14:textId="77777777" w:rsidR="0077076B" w:rsidRPr="004F7036" w:rsidRDefault="0077076B" w:rsidP="00C430F2">
            <w:pPr>
              <w:keepNext/>
              <w:keepLines/>
              <w:spacing w:beforeLines="0" w:before="0" w:after="0"/>
              <w:jc w:val="center"/>
              <w:rPr>
                <w:rFonts w:eastAsia="等线"/>
                <w:sz w:val="18"/>
                <w:szCs w:val="20"/>
                <w:lang w:val="en-GB"/>
              </w:rPr>
            </w:pPr>
            <w:r w:rsidRPr="004F7036">
              <w:rPr>
                <w:rFonts w:eastAsia="等线"/>
                <w:sz w:val="18"/>
                <w:szCs w:val="20"/>
                <w:lang w:val="en-GB"/>
              </w:rPr>
              <w:t>1.25 kHz</w:t>
            </w:r>
          </w:p>
        </w:tc>
        <w:tc>
          <w:tcPr>
            <w:tcW w:w="0" w:type="auto"/>
          </w:tcPr>
          <w:p w14:paraId="639D318E" w14:textId="77777777" w:rsidR="0077076B" w:rsidRPr="004F7036" w:rsidRDefault="0077076B" w:rsidP="00C430F2">
            <w:pPr>
              <w:keepNext/>
              <w:keepLines/>
              <w:spacing w:beforeLines="0" w:before="0" w:after="0"/>
              <w:jc w:val="center"/>
              <w:rPr>
                <w:rFonts w:eastAsia="等线"/>
                <w:sz w:val="18"/>
                <w:szCs w:val="20"/>
                <w:lang w:val="en-GB"/>
              </w:rPr>
            </w:pPr>
            <w:r w:rsidRPr="004F7036">
              <w:rPr>
                <w:rFonts w:eastAsia="等线"/>
                <w:sz w:val="18"/>
                <w:szCs w:val="20"/>
                <w:lang w:val="en-GB"/>
              </w:rPr>
              <w:t>3.75 kHz</w:t>
            </w:r>
          </w:p>
        </w:tc>
      </w:tr>
    </w:tbl>
    <w:p w14:paraId="5F821DE6" w14:textId="77777777" w:rsidR="0077076B" w:rsidRDefault="0077076B" w:rsidP="0077076B">
      <w:pPr>
        <w:spacing w:beforeLines="0" w:before="120" w:after="0"/>
        <w:rPr>
          <w:rFonts w:eastAsiaTheme="minorEastAsia"/>
          <w:lang w:eastAsia="zh-CN"/>
        </w:rPr>
      </w:pPr>
    </w:p>
    <w:p w14:paraId="1DC1E7E2" w14:textId="77777777" w:rsidR="0077076B" w:rsidRDefault="0077076B" w:rsidP="0077076B">
      <w:pPr>
        <w:spacing w:beforeLines="0" w:before="120" w:after="0"/>
        <w:rPr>
          <w:rFonts w:eastAsiaTheme="minorEastAsia"/>
          <w:lang w:eastAsia="zh-CN"/>
        </w:rPr>
      </w:pPr>
      <w:r>
        <w:rPr>
          <w:rFonts w:eastAsiaTheme="minorEastAsia"/>
          <w:b/>
          <w:i/>
          <w:lang w:eastAsia="zh-CN"/>
        </w:rPr>
        <w:t>Observations 1: Only NPRACH format 0 and format 1 are considered for OCC multiplexing in R19 IoT NTN.</w:t>
      </w:r>
    </w:p>
    <w:p w14:paraId="32E98F16" w14:textId="77777777" w:rsidR="0077076B" w:rsidRDefault="0077076B" w:rsidP="0077076B">
      <w:pPr>
        <w:spacing w:beforeLines="0" w:before="120" w:after="0"/>
        <w:rPr>
          <w:rFonts w:eastAsiaTheme="minorEastAsia"/>
          <w:lang w:eastAsia="zh-CN"/>
        </w:rPr>
      </w:pPr>
    </w:p>
    <w:p w14:paraId="45230B7E" w14:textId="77777777" w:rsidR="0077076B" w:rsidRDefault="0077076B" w:rsidP="0077076B">
      <w:pPr>
        <w:spacing w:before="120"/>
      </w:pPr>
      <w:r>
        <w:lastRenderedPageBreak/>
        <w:t xml:space="preserve">Based on specification, one NPRACH </w:t>
      </w:r>
      <w:r w:rsidRPr="005E0144">
        <w:t xml:space="preserve">preamble </w:t>
      </w:r>
      <w:r>
        <w:t>repetition unit consists of multiple</w:t>
      </w:r>
      <w:r w:rsidRPr="005E0144">
        <w:t xml:space="preserve"> symbol groups. </w:t>
      </w:r>
      <w:r>
        <w:t>The structure of a</w:t>
      </w:r>
      <w:r w:rsidRPr="005E0144">
        <w:t xml:space="preserve"> symbol group is illustrated in </w:t>
      </w:r>
      <w:r>
        <w:t>f</w:t>
      </w:r>
      <w:r w:rsidRPr="005E0144">
        <w:t xml:space="preserve">igure 1, </w:t>
      </w:r>
      <w:r>
        <w:t xml:space="preserve">it </w:t>
      </w:r>
      <w:r w:rsidRPr="005E0144">
        <w:t>consist</w:t>
      </w:r>
      <w:r>
        <w:t>s</w:t>
      </w:r>
      <w:r w:rsidRPr="005E0144">
        <w:t xml:space="preserve"> of a </w:t>
      </w:r>
      <w:r>
        <w:t>CP</w:t>
      </w:r>
      <w:r w:rsidRPr="005E0144">
        <w:t xml:space="preserve"> of length </w:t>
      </w:r>
      <w:r w:rsidRPr="005E0144">
        <w:rPr>
          <w:position w:val="-10"/>
        </w:rPr>
        <w:object w:dxaOrig="340" w:dyaOrig="300" w14:anchorId="6D5B0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769874316" r:id="rId14"/>
        </w:object>
      </w:r>
      <w:r w:rsidRPr="005E0144">
        <w:t xml:space="preserve"> and a sequence of </w:t>
      </w:r>
      <w:r w:rsidRPr="00964509">
        <w:rPr>
          <w:position w:val="-6"/>
        </w:rPr>
        <w:object w:dxaOrig="240" w:dyaOrig="240" w14:anchorId="5970BEE8">
          <v:shape id="_x0000_i1026" type="#_x0000_t75" style="width:14.4pt;height:14.4pt" o:ole="">
            <v:imagedata r:id="rId15" o:title=""/>
          </v:shape>
          <o:OLEObject Type="Embed" ProgID="Equation.DSMT4" ShapeID="_x0000_i1026" DrawAspect="Content" ObjectID="_1769874317" r:id="rId16"/>
        </w:object>
      </w:r>
      <w:r w:rsidRPr="005E0144">
        <w:t xml:space="preserve"> identical symbols with total length</w:t>
      </w:r>
      <w:r w:rsidRPr="005E0144">
        <w:rPr>
          <w:position w:val="-12"/>
        </w:rPr>
        <w:object w:dxaOrig="440" w:dyaOrig="320" w14:anchorId="5558C217">
          <v:shape id="_x0000_i1027" type="#_x0000_t75" style="width:21.9pt;height:14.4pt" o:ole="">
            <v:imagedata r:id="rId17" o:title=""/>
          </v:shape>
          <o:OLEObject Type="Embed" ProgID="Equation.3" ShapeID="_x0000_i1027" DrawAspect="Content" ObjectID="_1769874318" r:id="rId18"/>
        </w:object>
      </w:r>
      <w:r w:rsidRPr="005E0144">
        <w:t xml:space="preserve">. </w:t>
      </w:r>
      <w:r w:rsidRPr="000971BC">
        <w:t xml:space="preserve">The total number of symbol groups in a preamble repetition unit is denoted by </w:t>
      </w:r>
      <m:oMath>
        <m:r>
          <w:rPr>
            <w:rFonts w:ascii="Cambria Math" w:hAnsi="Cambria Math"/>
          </w:rPr>
          <m:t>P</m:t>
        </m:r>
      </m:oMath>
      <w:r w:rsidRPr="000971BC">
        <w:t xml:space="preserve">. </w:t>
      </w:r>
    </w:p>
    <w:p w14:paraId="6C7CCC12" w14:textId="0A709D1D" w:rsidR="0077076B" w:rsidRDefault="0077076B" w:rsidP="0077076B">
      <w:pPr>
        <w:spacing w:before="120"/>
        <w:jc w:val="center"/>
      </w:pPr>
      <w:r w:rsidRPr="00905007">
        <w:t xml:space="preserve"> </w:t>
      </w:r>
      <w:r>
        <w:rPr>
          <w:noProof/>
        </w:rPr>
        <w:drawing>
          <wp:inline distT="0" distB="0" distL="0" distR="0" wp14:anchorId="491AD734" wp14:editId="7A6832C5">
            <wp:extent cx="2012950" cy="861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12950" cy="861060"/>
                    </a:xfrm>
                    <a:prstGeom prst="rect">
                      <a:avLst/>
                    </a:prstGeom>
                    <a:noFill/>
                    <a:ln>
                      <a:noFill/>
                    </a:ln>
                  </pic:spPr>
                </pic:pic>
              </a:graphicData>
            </a:graphic>
          </wp:inline>
        </w:drawing>
      </w:r>
    </w:p>
    <w:p w14:paraId="0AADAC94" w14:textId="77777777" w:rsidR="0077076B" w:rsidRPr="003C7865" w:rsidRDefault="0077076B" w:rsidP="0077076B">
      <w:pPr>
        <w:spacing w:before="120"/>
        <w:jc w:val="center"/>
        <w:rPr>
          <w:rFonts w:eastAsiaTheme="minorEastAsia"/>
          <w:lang w:eastAsia="zh-CN"/>
        </w:rPr>
      </w:pPr>
      <w:r>
        <w:rPr>
          <w:rFonts w:eastAsiaTheme="minorEastAsia" w:hint="eastAsia"/>
          <w:lang w:eastAsia="zh-CN"/>
        </w:rPr>
        <w:t>F</w:t>
      </w:r>
      <w:r>
        <w:rPr>
          <w:rFonts w:eastAsiaTheme="minorEastAsia"/>
          <w:lang w:eastAsia="zh-CN"/>
        </w:rPr>
        <w:t>igure 1. example of a symbol group for NPRACH preamble</w:t>
      </w:r>
    </w:p>
    <w:p w14:paraId="43C25BBE" w14:textId="77777777" w:rsidR="0077076B" w:rsidRDefault="0077076B" w:rsidP="0077076B">
      <w:pPr>
        <w:spacing w:beforeLines="0" w:before="120" w:after="0"/>
        <w:rPr>
          <w:rFonts w:eastAsiaTheme="minorEastAsia"/>
          <w:lang w:eastAsia="zh-CN"/>
        </w:rPr>
      </w:pPr>
      <w:r>
        <w:rPr>
          <w:rFonts w:eastAsiaTheme="minorEastAsia"/>
          <w:lang w:eastAsia="zh-CN"/>
        </w:rPr>
        <w:t>According to t</w:t>
      </w:r>
      <w:r w:rsidRPr="00025A64">
        <w:rPr>
          <w:rFonts w:eastAsiaTheme="minorEastAsia"/>
          <w:lang w:eastAsia="zh-CN"/>
        </w:rPr>
        <w:t>able 10.1.6.1-1 in TS36.211</w:t>
      </w:r>
      <w:r>
        <w:rPr>
          <w:rFonts w:eastAsiaTheme="minorEastAsia"/>
          <w:lang w:eastAsia="zh-CN"/>
        </w:rPr>
        <w:t>, o</w:t>
      </w:r>
      <w:r w:rsidRPr="00A375F3">
        <w:rPr>
          <w:rFonts w:eastAsiaTheme="minorEastAsia"/>
          <w:lang w:eastAsia="zh-CN"/>
        </w:rPr>
        <w:t>ne NPRACH preamble</w:t>
      </w:r>
      <w:r>
        <w:rPr>
          <w:rFonts w:eastAsiaTheme="minorEastAsia"/>
          <w:lang w:eastAsia="zh-CN"/>
        </w:rPr>
        <w:t xml:space="preserve"> for format 0 and format 1</w:t>
      </w:r>
      <w:r w:rsidRPr="00A375F3">
        <w:rPr>
          <w:rFonts w:eastAsiaTheme="minorEastAsia"/>
          <w:lang w:eastAsia="zh-CN"/>
        </w:rPr>
        <w:t xml:space="preserve"> consists of 4 symbol groups, with each symbol group comprising of one CP and 5 symbols. </w:t>
      </w:r>
    </w:p>
    <w:p w14:paraId="124667C9" w14:textId="77777777" w:rsidR="0077076B" w:rsidRPr="007A5F56" w:rsidRDefault="0077076B" w:rsidP="0077076B">
      <w:pPr>
        <w:pStyle w:val="TH"/>
        <w:spacing w:before="120"/>
        <w:rPr>
          <w:rFonts w:ascii="Times New Roman" w:hAnsi="Times New Roman"/>
          <w:b w:val="0"/>
        </w:rPr>
      </w:pPr>
      <w:bookmarkStart w:id="5" w:name="_Hlk159167533"/>
      <w:r w:rsidRPr="007A5F56">
        <w:rPr>
          <w:rFonts w:ascii="Times New Roman" w:hAnsi="Times New Roman"/>
          <w:b w:val="0"/>
        </w:rPr>
        <w:t>Table 10.1.6.1-1</w:t>
      </w:r>
      <w:r>
        <w:rPr>
          <w:rFonts w:ascii="Times New Roman" w:hAnsi="Times New Roman"/>
          <w:b w:val="0"/>
        </w:rPr>
        <w:t xml:space="preserve"> in TS36.211</w:t>
      </w:r>
      <w:bookmarkEnd w:id="5"/>
      <w:r w:rsidRPr="007A5F56">
        <w:rPr>
          <w:rFonts w:ascii="Times New Roman" w:hAnsi="Times New Roman"/>
          <w:b w:val="0"/>
        </w:rPr>
        <w:t xml:space="preserve">: Random access preamble parameters </w:t>
      </w:r>
      <w:bookmarkStart w:id="6" w:name="_Hlk515117179"/>
      <w:r w:rsidRPr="007A5F56">
        <w:rPr>
          <w:rFonts w:ascii="Times New Roman" w:hAnsi="Times New Roman"/>
          <w:b w:val="0"/>
        </w:rPr>
        <w:t>for frame structure type 1</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501"/>
        <w:gridCol w:w="501"/>
        <w:gridCol w:w="501"/>
        <w:gridCol w:w="953"/>
        <w:gridCol w:w="1070"/>
      </w:tblGrid>
      <w:tr w:rsidR="0077076B" w:rsidRPr="007A5F56" w14:paraId="4DB0C0F8" w14:textId="77777777" w:rsidTr="00C430F2">
        <w:trPr>
          <w:cantSplit/>
          <w:jc w:val="center"/>
        </w:trPr>
        <w:tc>
          <w:tcPr>
            <w:tcW w:w="0" w:type="auto"/>
            <w:shd w:val="clear" w:color="auto" w:fill="E0E0E0"/>
            <w:vAlign w:val="center"/>
          </w:tcPr>
          <w:p w14:paraId="320842BE" w14:textId="77777777" w:rsidR="0077076B" w:rsidRPr="001206AD" w:rsidRDefault="0077076B" w:rsidP="00C430F2">
            <w:pPr>
              <w:pStyle w:val="TAH"/>
              <w:spacing w:before="120"/>
              <w:rPr>
                <w:rFonts w:ascii="Times New Roman" w:hAnsi="Times New Roman"/>
                <w:b w:val="0"/>
              </w:rPr>
            </w:pPr>
            <w:r w:rsidRPr="001206AD">
              <w:rPr>
                <w:rFonts w:ascii="Times New Roman" w:hAnsi="Times New Roman"/>
                <w:b w:val="0"/>
              </w:rPr>
              <w:t>Preamble format</w:t>
            </w:r>
          </w:p>
        </w:tc>
        <w:tc>
          <w:tcPr>
            <w:tcW w:w="0" w:type="auto"/>
            <w:shd w:val="clear" w:color="auto" w:fill="E0E0E0"/>
          </w:tcPr>
          <w:p w14:paraId="01F539C3" w14:textId="77777777" w:rsidR="0077076B" w:rsidRPr="007A5F56" w:rsidRDefault="0077076B" w:rsidP="00C430F2">
            <w:pPr>
              <w:pStyle w:val="TAH"/>
              <w:spacing w:before="120"/>
              <w:rPr>
                <w:rFonts w:ascii="Times New Roman" w:hAnsi="Times New Roman"/>
              </w:rPr>
            </w:pPr>
            <w:r w:rsidRPr="007A5F56">
              <w:rPr>
                <w:rFonts w:ascii="Times New Roman" w:hAnsi="Times New Roman"/>
                <w:noProof/>
                <w:position w:val="-6"/>
              </w:rPr>
              <w:drawing>
                <wp:inline distT="0" distB="0" distL="0" distR="0" wp14:anchorId="6D4C2430" wp14:editId="1D152BF1">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37B58CF0" w14:textId="77777777" w:rsidR="0077076B" w:rsidRPr="007A5F56" w:rsidRDefault="0077076B" w:rsidP="00C430F2">
            <w:pPr>
              <w:pStyle w:val="TAH"/>
              <w:spacing w:before="120"/>
              <w:rPr>
                <w:rFonts w:ascii="Times New Roman" w:hAnsi="Times New Roman"/>
              </w:rPr>
            </w:pPr>
            <w:r w:rsidRPr="007A5F56">
              <w:rPr>
                <w:rFonts w:ascii="Times New Roman" w:hAnsi="Times New Roman"/>
                <w:noProof/>
                <w:position w:val="-6"/>
              </w:rPr>
              <w:drawing>
                <wp:inline distT="0" distB="0" distL="0" distR="0" wp14:anchorId="5043829C" wp14:editId="48F66E24">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4AEC9547" w14:textId="77777777" w:rsidR="0077076B" w:rsidRPr="007A5F56" w:rsidRDefault="0077076B" w:rsidP="00C430F2">
            <w:pPr>
              <w:pStyle w:val="TAH"/>
              <w:spacing w:before="120"/>
              <w:rPr>
                <w:rFonts w:ascii="Times New Roman" w:hAnsi="Times New Roman"/>
              </w:rPr>
            </w:pPr>
            <w:r w:rsidRPr="007A5F56">
              <w:rPr>
                <w:rFonts w:ascii="Times New Roman" w:hAnsi="Times New Roman"/>
                <w:noProof/>
                <w:position w:val="-6"/>
              </w:rPr>
              <w:drawing>
                <wp:inline distT="0" distB="0" distL="0" distR="0" wp14:anchorId="30EC4241" wp14:editId="72B69605">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1279736" w14:textId="77777777" w:rsidR="0077076B" w:rsidRPr="007A5F56" w:rsidRDefault="0077076B" w:rsidP="00C430F2">
            <w:pPr>
              <w:pStyle w:val="TAH"/>
              <w:spacing w:before="120"/>
              <w:rPr>
                <w:rFonts w:ascii="Times New Roman" w:hAnsi="Times New Roman"/>
              </w:rPr>
            </w:pPr>
            <w:r w:rsidRPr="007A5F56">
              <w:rPr>
                <w:rFonts w:ascii="Times New Roman" w:hAnsi="Times New Roman"/>
                <w:noProof/>
                <w:position w:val="-10"/>
              </w:rPr>
              <w:drawing>
                <wp:inline distT="0" distB="0" distL="0" distR="0" wp14:anchorId="61A638EC" wp14:editId="40E2A05C">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16E0EB54" w14:textId="77777777" w:rsidR="0077076B" w:rsidRPr="007A5F56" w:rsidRDefault="0077076B" w:rsidP="00C430F2">
            <w:pPr>
              <w:pStyle w:val="TAH"/>
              <w:spacing w:before="120"/>
              <w:rPr>
                <w:rFonts w:ascii="Times New Roman" w:hAnsi="Times New Roman"/>
              </w:rPr>
            </w:pPr>
            <w:r w:rsidRPr="007A5F56">
              <w:rPr>
                <w:rFonts w:ascii="Times New Roman" w:hAnsi="Times New Roman"/>
                <w:noProof/>
                <w:position w:val="-12"/>
              </w:rPr>
              <w:drawing>
                <wp:inline distT="0" distB="0" distL="0" distR="0" wp14:anchorId="512EAF1B" wp14:editId="070075CE">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77076B" w:rsidRPr="007A5F56" w14:paraId="3E2C93A3" w14:textId="77777777" w:rsidTr="00C430F2">
        <w:trPr>
          <w:cantSplit/>
          <w:trHeight w:val="324"/>
          <w:jc w:val="center"/>
        </w:trPr>
        <w:tc>
          <w:tcPr>
            <w:tcW w:w="0" w:type="auto"/>
            <w:shd w:val="clear" w:color="auto" w:fill="auto"/>
            <w:vAlign w:val="center"/>
          </w:tcPr>
          <w:p w14:paraId="10E7C090" w14:textId="77777777" w:rsidR="0077076B" w:rsidRPr="007A5F56" w:rsidRDefault="0077076B" w:rsidP="00C430F2">
            <w:pPr>
              <w:pStyle w:val="TAC"/>
              <w:spacing w:before="120"/>
              <w:rPr>
                <w:rFonts w:ascii="Times New Roman" w:hAnsi="Times New Roman"/>
              </w:rPr>
            </w:pPr>
            <w:r w:rsidRPr="007A5F56">
              <w:rPr>
                <w:rFonts w:ascii="Times New Roman" w:hAnsi="Times New Roman"/>
              </w:rPr>
              <w:t>0</w:t>
            </w:r>
          </w:p>
        </w:tc>
        <w:tc>
          <w:tcPr>
            <w:tcW w:w="0" w:type="auto"/>
            <w:vAlign w:val="center"/>
          </w:tcPr>
          <w:p w14:paraId="25D31F51" w14:textId="77777777" w:rsidR="0077076B" w:rsidRPr="007A5F56" w:rsidRDefault="0077076B" w:rsidP="00C430F2">
            <w:pPr>
              <w:pStyle w:val="TAC"/>
              <w:spacing w:before="120"/>
              <w:rPr>
                <w:rFonts w:ascii="Times New Roman" w:hAnsi="Times New Roman"/>
              </w:rPr>
            </w:pPr>
            <w:r w:rsidRPr="007A5F56">
              <w:rPr>
                <w:rFonts w:ascii="Times New Roman" w:hAnsi="Times New Roman"/>
              </w:rPr>
              <w:t>4</w:t>
            </w:r>
          </w:p>
        </w:tc>
        <w:tc>
          <w:tcPr>
            <w:tcW w:w="0" w:type="auto"/>
            <w:vAlign w:val="center"/>
          </w:tcPr>
          <w:p w14:paraId="2F653973" w14:textId="77777777" w:rsidR="0077076B" w:rsidRPr="007A5F56" w:rsidRDefault="0077076B" w:rsidP="00C430F2">
            <w:pPr>
              <w:pStyle w:val="TAC"/>
              <w:spacing w:before="120"/>
              <w:rPr>
                <w:rFonts w:ascii="Times New Roman" w:hAnsi="Times New Roman"/>
              </w:rPr>
            </w:pPr>
            <w:r w:rsidRPr="007A5F56">
              <w:rPr>
                <w:rFonts w:ascii="Times New Roman" w:hAnsi="Times New Roman"/>
              </w:rPr>
              <w:t>4</w:t>
            </w:r>
          </w:p>
        </w:tc>
        <w:tc>
          <w:tcPr>
            <w:tcW w:w="0" w:type="auto"/>
            <w:vAlign w:val="center"/>
          </w:tcPr>
          <w:p w14:paraId="5959AE24" w14:textId="77777777" w:rsidR="0077076B" w:rsidRPr="007A5F56" w:rsidRDefault="0077076B" w:rsidP="00C430F2">
            <w:pPr>
              <w:pStyle w:val="TAC"/>
              <w:spacing w:before="120"/>
              <w:rPr>
                <w:rFonts w:ascii="Times New Roman" w:hAnsi="Times New Roman"/>
              </w:rPr>
            </w:pPr>
            <w:r w:rsidRPr="007A5F56">
              <w:rPr>
                <w:rFonts w:ascii="Times New Roman" w:hAnsi="Times New Roman"/>
              </w:rPr>
              <w:t>5</w:t>
            </w:r>
          </w:p>
        </w:tc>
        <w:tc>
          <w:tcPr>
            <w:tcW w:w="0" w:type="auto"/>
            <w:shd w:val="clear" w:color="auto" w:fill="auto"/>
            <w:vAlign w:val="center"/>
          </w:tcPr>
          <w:p w14:paraId="607A9236" w14:textId="77777777" w:rsidR="0077076B" w:rsidRPr="007A5F56" w:rsidRDefault="0077076B" w:rsidP="00C430F2">
            <w:pPr>
              <w:pStyle w:val="TAC"/>
              <w:spacing w:before="120"/>
              <w:rPr>
                <w:rFonts w:ascii="Times New Roman" w:hAnsi="Times New Roman"/>
              </w:rPr>
            </w:pPr>
            <w:r w:rsidRPr="007A5F56">
              <w:rPr>
                <w:rFonts w:ascii="Times New Roman" w:hAnsi="Times New Roman"/>
                <w:noProof/>
                <w:position w:val="-10"/>
              </w:rPr>
              <w:drawing>
                <wp:inline distT="0" distB="0" distL="0" distR="0" wp14:anchorId="37B40EE4" wp14:editId="11AC1D5E">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59481A7A" w14:textId="77777777" w:rsidR="0077076B" w:rsidRPr="007A5F56" w:rsidRDefault="0077076B" w:rsidP="00C430F2">
            <w:pPr>
              <w:pStyle w:val="TAC"/>
              <w:spacing w:before="120"/>
              <w:rPr>
                <w:rFonts w:ascii="Times New Roman" w:hAnsi="Times New Roman"/>
              </w:rPr>
            </w:pPr>
            <w:r w:rsidRPr="007A5F56">
              <w:rPr>
                <w:rFonts w:ascii="Times New Roman" w:hAnsi="Times New Roman"/>
                <w:noProof/>
                <w:position w:val="-10"/>
              </w:rPr>
              <w:drawing>
                <wp:inline distT="0" distB="0" distL="0" distR="0" wp14:anchorId="12EF5F24" wp14:editId="0421A034">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77076B" w:rsidRPr="007A5F56" w14:paraId="4D63414F" w14:textId="77777777" w:rsidTr="00C430F2">
        <w:trPr>
          <w:cantSplit/>
          <w:trHeight w:val="264"/>
          <w:jc w:val="center"/>
        </w:trPr>
        <w:tc>
          <w:tcPr>
            <w:tcW w:w="0" w:type="auto"/>
            <w:shd w:val="clear" w:color="auto" w:fill="auto"/>
            <w:vAlign w:val="center"/>
          </w:tcPr>
          <w:p w14:paraId="4F289B79" w14:textId="77777777" w:rsidR="0077076B" w:rsidRPr="007A5F56" w:rsidRDefault="0077076B" w:rsidP="00C430F2">
            <w:pPr>
              <w:pStyle w:val="TAC"/>
              <w:spacing w:before="120"/>
              <w:rPr>
                <w:rFonts w:ascii="Times New Roman" w:hAnsi="Times New Roman"/>
              </w:rPr>
            </w:pPr>
            <w:r w:rsidRPr="007A5F56">
              <w:rPr>
                <w:rFonts w:ascii="Times New Roman" w:hAnsi="Times New Roman"/>
              </w:rPr>
              <w:t>1</w:t>
            </w:r>
          </w:p>
        </w:tc>
        <w:tc>
          <w:tcPr>
            <w:tcW w:w="0" w:type="auto"/>
            <w:vAlign w:val="center"/>
          </w:tcPr>
          <w:p w14:paraId="63E140D4" w14:textId="77777777" w:rsidR="0077076B" w:rsidRPr="007A5F56" w:rsidRDefault="0077076B" w:rsidP="00C430F2">
            <w:pPr>
              <w:pStyle w:val="TAC"/>
              <w:spacing w:before="120"/>
              <w:rPr>
                <w:rFonts w:ascii="Times New Roman" w:hAnsi="Times New Roman"/>
              </w:rPr>
            </w:pPr>
            <w:r w:rsidRPr="007A5F56">
              <w:rPr>
                <w:rFonts w:ascii="Times New Roman" w:hAnsi="Times New Roman"/>
              </w:rPr>
              <w:t>4</w:t>
            </w:r>
          </w:p>
        </w:tc>
        <w:tc>
          <w:tcPr>
            <w:tcW w:w="0" w:type="auto"/>
            <w:vAlign w:val="center"/>
          </w:tcPr>
          <w:p w14:paraId="5380F6FB" w14:textId="77777777" w:rsidR="0077076B" w:rsidRPr="007A5F56" w:rsidRDefault="0077076B" w:rsidP="00C430F2">
            <w:pPr>
              <w:pStyle w:val="TAC"/>
              <w:spacing w:before="120"/>
              <w:rPr>
                <w:rFonts w:ascii="Times New Roman" w:hAnsi="Times New Roman"/>
              </w:rPr>
            </w:pPr>
            <w:r w:rsidRPr="007A5F56">
              <w:rPr>
                <w:rFonts w:ascii="Times New Roman" w:hAnsi="Times New Roman"/>
              </w:rPr>
              <w:t>4</w:t>
            </w:r>
          </w:p>
        </w:tc>
        <w:tc>
          <w:tcPr>
            <w:tcW w:w="0" w:type="auto"/>
            <w:vAlign w:val="center"/>
          </w:tcPr>
          <w:p w14:paraId="158FDF97" w14:textId="77777777" w:rsidR="0077076B" w:rsidRPr="007A5F56" w:rsidRDefault="0077076B" w:rsidP="00C430F2">
            <w:pPr>
              <w:pStyle w:val="TAC"/>
              <w:spacing w:before="120"/>
              <w:rPr>
                <w:rFonts w:ascii="Times New Roman" w:hAnsi="Times New Roman"/>
              </w:rPr>
            </w:pPr>
            <w:r w:rsidRPr="007A5F56">
              <w:rPr>
                <w:rFonts w:ascii="Times New Roman" w:hAnsi="Times New Roman"/>
              </w:rPr>
              <w:t>5</w:t>
            </w:r>
          </w:p>
        </w:tc>
        <w:tc>
          <w:tcPr>
            <w:tcW w:w="0" w:type="auto"/>
            <w:shd w:val="clear" w:color="auto" w:fill="auto"/>
            <w:vAlign w:val="center"/>
          </w:tcPr>
          <w:p w14:paraId="4B81669E" w14:textId="77777777" w:rsidR="0077076B" w:rsidRPr="007A5F56" w:rsidRDefault="0077076B" w:rsidP="00C430F2">
            <w:pPr>
              <w:pStyle w:val="TAC"/>
              <w:spacing w:before="120"/>
              <w:rPr>
                <w:rFonts w:ascii="Times New Roman" w:hAnsi="Times New Roman"/>
              </w:rPr>
            </w:pPr>
            <w:r w:rsidRPr="007A5F56">
              <w:rPr>
                <w:rFonts w:ascii="Times New Roman" w:hAnsi="Times New Roman"/>
                <w:noProof/>
                <w:position w:val="-10"/>
              </w:rPr>
              <w:drawing>
                <wp:inline distT="0" distB="0" distL="0" distR="0" wp14:anchorId="190BA03E" wp14:editId="6E0F2A96">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3E4A8F2B" w14:textId="77777777" w:rsidR="0077076B" w:rsidRPr="007A5F56" w:rsidRDefault="0077076B" w:rsidP="00C430F2">
            <w:pPr>
              <w:pStyle w:val="TAC"/>
              <w:spacing w:before="120"/>
              <w:rPr>
                <w:rFonts w:ascii="Times New Roman" w:hAnsi="Times New Roman"/>
              </w:rPr>
            </w:pPr>
            <w:r w:rsidRPr="007A5F56">
              <w:rPr>
                <w:rFonts w:ascii="Times New Roman" w:hAnsi="Times New Roman"/>
                <w:noProof/>
                <w:position w:val="-10"/>
              </w:rPr>
              <w:drawing>
                <wp:inline distT="0" distB="0" distL="0" distR="0" wp14:anchorId="56E1A1F2" wp14:editId="290E98A8">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77076B" w:rsidRPr="007A5F56" w14:paraId="1F4F3989" w14:textId="77777777" w:rsidTr="00C430F2">
        <w:trPr>
          <w:cantSplit/>
          <w:trHeight w:val="53"/>
          <w:jc w:val="center"/>
        </w:trPr>
        <w:tc>
          <w:tcPr>
            <w:tcW w:w="0" w:type="auto"/>
            <w:shd w:val="clear" w:color="auto" w:fill="auto"/>
            <w:vAlign w:val="center"/>
          </w:tcPr>
          <w:p w14:paraId="73CD419F" w14:textId="77777777" w:rsidR="0077076B" w:rsidRPr="007A5F56" w:rsidRDefault="0077076B" w:rsidP="00C430F2">
            <w:pPr>
              <w:pStyle w:val="TAC"/>
              <w:spacing w:before="120"/>
              <w:rPr>
                <w:rFonts w:ascii="Times New Roman" w:hAnsi="Times New Roman"/>
              </w:rPr>
            </w:pPr>
            <w:r w:rsidRPr="007A5F56">
              <w:rPr>
                <w:rFonts w:ascii="Times New Roman" w:hAnsi="Times New Roman"/>
              </w:rPr>
              <w:t>2</w:t>
            </w:r>
          </w:p>
        </w:tc>
        <w:tc>
          <w:tcPr>
            <w:tcW w:w="0" w:type="auto"/>
            <w:vAlign w:val="center"/>
          </w:tcPr>
          <w:p w14:paraId="245B6D5F" w14:textId="77777777" w:rsidR="0077076B" w:rsidRPr="007A5F56" w:rsidRDefault="0077076B" w:rsidP="00C430F2">
            <w:pPr>
              <w:pStyle w:val="TAC"/>
              <w:spacing w:before="120"/>
              <w:rPr>
                <w:rFonts w:ascii="Times New Roman" w:hAnsi="Times New Roman"/>
              </w:rPr>
            </w:pPr>
            <w:r w:rsidRPr="007A5F56">
              <w:rPr>
                <w:rFonts w:ascii="Times New Roman" w:hAnsi="Times New Roman"/>
              </w:rPr>
              <w:t>6</w:t>
            </w:r>
          </w:p>
        </w:tc>
        <w:tc>
          <w:tcPr>
            <w:tcW w:w="0" w:type="auto"/>
            <w:vAlign w:val="center"/>
          </w:tcPr>
          <w:p w14:paraId="627F8BAF" w14:textId="77777777" w:rsidR="0077076B" w:rsidRPr="007A5F56" w:rsidRDefault="0077076B" w:rsidP="00C430F2">
            <w:pPr>
              <w:pStyle w:val="TAC"/>
              <w:spacing w:before="120"/>
              <w:rPr>
                <w:rFonts w:ascii="Times New Roman" w:hAnsi="Times New Roman"/>
              </w:rPr>
            </w:pPr>
            <w:r w:rsidRPr="007A5F56">
              <w:rPr>
                <w:rFonts w:ascii="Times New Roman" w:hAnsi="Times New Roman"/>
              </w:rPr>
              <w:t>6</w:t>
            </w:r>
          </w:p>
        </w:tc>
        <w:tc>
          <w:tcPr>
            <w:tcW w:w="0" w:type="auto"/>
            <w:vAlign w:val="center"/>
          </w:tcPr>
          <w:p w14:paraId="521E9EED" w14:textId="77777777" w:rsidR="0077076B" w:rsidRPr="007A5F56" w:rsidRDefault="0077076B" w:rsidP="00C430F2">
            <w:pPr>
              <w:pStyle w:val="TAC"/>
              <w:spacing w:before="120"/>
              <w:rPr>
                <w:rFonts w:ascii="Times New Roman" w:hAnsi="Times New Roman"/>
              </w:rPr>
            </w:pPr>
            <w:r w:rsidRPr="007A5F56">
              <w:rPr>
                <w:rFonts w:ascii="Times New Roman" w:hAnsi="Times New Roman"/>
              </w:rPr>
              <w:t>3</w:t>
            </w:r>
          </w:p>
        </w:tc>
        <w:tc>
          <w:tcPr>
            <w:tcW w:w="0" w:type="auto"/>
            <w:shd w:val="clear" w:color="auto" w:fill="auto"/>
            <w:vAlign w:val="center"/>
          </w:tcPr>
          <w:p w14:paraId="7BC3C894" w14:textId="77777777" w:rsidR="0077076B" w:rsidRPr="007A5F56" w:rsidRDefault="0077076B" w:rsidP="00C430F2">
            <w:pPr>
              <w:pStyle w:val="TAC"/>
              <w:spacing w:before="120"/>
              <w:rPr>
                <w:rFonts w:ascii="Times New Roman" w:hAnsi="Times New Roman"/>
              </w:rPr>
            </w:pPr>
            <w:r w:rsidRPr="007A5F56">
              <w:rPr>
                <w:rFonts w:ascii="Times New Roman" w:hAnsi="Times New Roman"/>
                <w:noProof/>
                <w:position w:val="-10"/>
              </w:rPr>
              <w:drawing>
                <wp:inline distT="0" distB="0" distL="0" distR="0" wp14:anchorId="30033368" wp14:editId="05D7F679">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20F2D7D8" w14:textId="77777777" w:rsidR="0077076B" w:rsidRPr="007A5F56" w:rsidRDefault="0077076B" w:rsidP="00C430F2">
            <w:pPr>
              <w:pStyle w:val="TAC"/>
              <w:spacing w:before="120"/>
              <w:rPr>
                <w:rFonts w:ascii="Times New Roman" w:hAnsi="Times New Roman"/>
              </w:rPr>
            </w:pPr>
            <w:r w:rsidRPr="007A5F56">
              <w:rPr>
                <w:rFonts w:ascii="Times New Roman" w:hAnsi="Times New Roman"/>
              </w:rPr>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Times New Roman" w:hAnsi="Times New Roman"/>
                    </w:rPr>
                    <m:t>s</m:t>
                  </m:r>
                </m:sub>
              </m:sSub>
            </m:oMath>
          </w:p>
        </w:tc>
      </w:tr>
    </w:tbl>
    <w:p w14:paraId="3D5EFBDC" w14:textId="77777777" w:rsidR="0077076B" w:rsidRDefault="0077076B" w:rsidP="0077076B">
      <w:pPr>
        <w:spacing w:beforeLines="0" w:before="120" w:after="0"/>
        <w:rPr>
          <w:rFonts w:eastAsiaTheme="minorEastAsia"/>
          <w:lang w:eastAsia="zh-CN"/>
        </w:rPr>
      </w:pPr>
      <w:r w:rsidRPr="00A375F3">
        <w:rPr>
          <w:rFonts w:eastAsiaTheme="minorEastAsia"/>
          <w:lang w:eastAsia="zh-CN"/>
        </w:rPr>
        <w:t xml:space="preserve">The CP length is 66.67 </w:t>
      </w:r>
      <w:r>
        <w:rPr>
          <w:rFonts w:eastAsiaTheme="minorEastAsia"/>
          <w:lang w:eastAsia="zh-CN"/>
        </w:rPr>
        <w:t>u</w:t>
      </w:r>
      <w:r w:rsidRPr="00A375F3">
        <w:rPr>
          <w:rFonts w:eastAsiaTheme="minorEastAsia"/>
          <w:lang w:eastAsia="zh-CN"/>
        </w:rPr>
        <w:t>s (</w:t>
      </w:r>
      <w:r>
        <w:rPr>
          <w:rFonts w:eastAsiaTheme="minorEastAsia"/>
          <w:lang w:eastAsia="zh-CN"/>
        </w:rPr>
        <w:t>f</w:t>
      </w:r>
      <w:r w:rsidRPr="00A375F3">
        <w:rPr>
          <w:rFonts w:eastAsiaTheme="minorEastAsia"/>
          <w:lang w:eastAsia="zh-CN"/>
        </w:rPr>
        <w:t xml:space="preserve">ormat 0) for cell radius up to 10 km and 266.7 </w:t>
      </w:r>
      <w:r>
        <w:rPr>
          <w:rFonts w:eastAsiaTheme="minorEastAsia"/>
          <w:lang w:eastAsia="zh-CN"/>
        </w:rPr>
        <w:t>u</w:t>
      </w:r>
      <w:r w:rsidRPr="00A375F3">
        <w:rPr>
          <w:rFonts w:eastAsiaTheme="minorEastAsia"/>
          <w:lang w:eastAsia="zh-CN"/>
        </w:rPr>
        <w:t>s (</w:t>
      </w:r>
      <w:r>
        <w:rPr>
          <w:rFonts w:eastAsiaTheme="minorEastAsia"/>
          <w:lang w:eastAsia="zh-CN"/>
        </w:rPr>
        <w:t>f</w:t>
      </w:r>
      <w:r w:rsidRPr="00A375F3">
        <w:rPr>
          <w:rFonts w:eastAsiaTheme="minorEastAsia"/>
          <w:lang w:eastAsia="zh-CN"/>
        </w:rPr>
        <w:t>ormat 1) for cell radius up to 40 km. Each symbol, with fixed symbol value 1, is modulated on a 3.75 kHz tone with symbol duration of 266.67</w:t>
      </w:r>
      <w:r>
        <w:rPr>
          <w:rFonts w:eastAsiaTheme="minorEastAsia"/>
          <w:lang w:eastAsia="zh-CN"/>
        </w:rPr>
        <w:t xml:space="preserve"> u</w:t>
      </w:r>
      <w:r w:rsidRPr="00A375F3">
        <w:rPr>
          <w:rFonts w:eastAsiaTheme="minorEastAsia"/>
          <w:lang w:eastAsia="zh-CN"/>
        </w:rPr>
        <w:t xml:space="preserve">s. However, the tone frequency index changes from one symbol group to another. An example of NPRACH frequency hopping is illustrated in </w:t>
      </w:r>
      <w:r>
        <w:rPr>
          <w:rFonts w:eastAsiaTheme="minorEastAsia"/>
          <w:lang w:eastAsia="zh-CN"/>
        </w:rPr>
        <w:t>figure 2</w:t>
      </w:r>
      <w:r w:rsidRPr="00A375F3">
        <w:rPr>
          <w:rFonts w:eastAsiaTheme="minorEastAsia"/>
          <w:lang w:eastAsia="zh-CN"/>
        </w:rPr>
        <w:t xml:space="preserve">. </w:t>
      </w:r>
    </w:p>
    <w:p w14:paraId="7FF0FE82" w14:textId="2A231F9B" w:rsidR="0077076B" w:rsidRDefault="0077076B" w:rsidP="0077076B">
      <w:pPr>
        <w:spacing w:beforeLines="0" w:before="120" w:after="0"/>
        <w:jc w:val="center"/>
        <w:rPr>
          <w:rFonts w:eastAsiaTheme="minorEastAsia"/>
          <w:lang w:eastAsia="zh-CN"/>
        </w:rPr>
      </w:pPr>
      <w:r>
        <w:rPr>
          <w:noProof/>
        </w:rPr>
        <w:drawing>
          <wp:inline distT="0" distB="0" distL="0" distR="0" wp14:anchorId="25BEC07B" wp14:editId="14BCCD78">
            <wp:extent cx="4084955" cy="2179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84955" cy="2179320"/>
                    </a:xfrm>
                    <a:prstGeom prst="rect">
                      <a:avLst/>
                    </a:prstGeom>
                    <a:noFill/>
                    <a:ln>
                      <a:noFill/>
                    </a:ln>
                  </pic:spPr>
                </pic:pic>
              </a:graphicData>
            </a:graphic>
          </wp:inline>
        </w:drawing>
      </w:r>
    </w:p>
    <w:p w14:paraId="5B60CE64" w14:textId="77777777" w:rsidR="0077076B" w:rsidRDefault="0077076B" w:rsidP="0077076B">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igure 2. example of a NPRACH preamble</w:t>
      </w:r>
    </w:p>
    <w:p w14:paraId="2BDAB443" w14:textId="77777777" w:rsidR="0077076B" w:rsidRDefault="0077076B" w:rsidP="0077076B">
      <w:pPr>
        <w:spacing w:beforeLines="0" w:before="120" w:after="0"/>
      </w:pPr>
      <w:r>
        <w:rPr>
          <w:rFonts w:eastAsiaTheme="minorEastAsia" w:hint="eastAsia"/>
          <w:lang w:eastAsia="zh-CN"/>
        </w:rPr>
        <w:t>Due</w:t>
      </w:r>
      <w:r>
        <w:rPr>
          <w:rFonts w:eastAsiaTheme="minorEastAsia"/>
          <w:lang w:eastAsia="zh-CN"/>
        </w:rPr>
        <w:t xml:space="preserve"> to </w:t>
      </w:r>
      <w:r w:rsidRPr="005E0144">
        <w:t>single-subcarrier frequency-hopping</w:t>
      </w:r>
      <w:r>
        <w:t xml:space="preserve"> waveform, frequency domain OCC is not applicable for NPRACH. Time domain OCC can be considered for NPRACH. However, in ini</w:t>
      </w:r>
      <w:r w:rsidRPr="00D44FDD">
        <w:t xml:space="preserve">tial access, </w:t>
      </w:r>
      <w:r w:rsidRPr="001508C3">
        <w:rPr>
          <w:rFonts w:eastAsiaTheme="minorEastAsia"/>
          <w:lang w:eastAsia="zh-CN"/>
        </w:rPr>
        <w:t xml:space="preserve">due to different </w:t>
      </w:r>
      <w:r w:rsidRPr="00D44FDD">
        <w:t>timin</w:t>
      </w:r>
      <w:r>
        <w:t xml:space="preserve">g between different UEs, it is hard to maintain the </w:t>
      </w:r>
      <w:r w:rsidRPr="00825EE1">
        <w:t>orthogonality</w:t>
      </w:r>
      <w:r>
        <w:t xml:space="preserve"> of OCCs between different UE. </w:t>
      </w:r>
    </w:p>
    <w:p w14:paraId="00423154" w14:textId="77777777" w:rsidR="0077076B" w:rsidRDefault="0077076B" w:rsidP="0077076B">
      <w:pPr>
        <w:spacing w:beforeLines="0" w:before="120" w:after="0"/>
      </w:pPr>
      <w:r>
        <w:t>In other hand, the granularity of time domain OCC could be intra symbol group</w:t>
      </w:r>
      <w:r>
        <w:rPr>
          <w:rFonts w:asciiTheme="minorEastAsia" w:eastAsiaTheme="minorEastAsia" w:hAnsiTheme="minorEastAsia" w:hint="eastAsia"/>
          <w:lang w:eastAsia="zh-CN"/>
        </w:rPr>
        <w:t>,</w:t>
      </w:r>
      <w:r>
        <w:t xml:space="preserve"> inter symbol group or inter preamble repetition unit. For intra symbol group, 5 symbols length in one symbol group would require new OCC sequence with length of </w:t>
      </w:r>
      <w:r w:rsidRPr="00D44FDD">
        <w:t>5</w:t>
      </w:r>
      <w:r w:rsidRPr="001508C3">
        <w:rPr>
          <w:rFonts w:eastAsia="宋体"/>
          <w:lang w:eastAsia="zh-CN"/>
        </w:rPr>
        <w:t>.</w:t>
      </w:r>
      <w:r>
        <w:rPr>
          <w:rFonts w:eastAsia="宋体"/>
          <w:lang w:eastAsia="zh-CN"/>
        </w:rPr>
        <w:t xml:space="preserve"> </w:t>
      </w:r>
      <w:r w:rsidRPr="001508C3">
        <w:rPr>
          <w:rFonts w:eastAsia="宋体"/>
          <w:lang w:eastAsia="zh-CN"/>
        </w:rPr>
        <w:t>Alternatively, intra symbol group can be achieved by</w:t>
      </w:r>
      <w:r w:rsidRPr="00D44FDD">
        <w:t xml:space="preserve"> reusing existing</w:t>
      </w:r>
      <w:r>
        <w:t xml:space="preserve"> OCC-4 with one symbol without OCC applied. For inter symbol group, in order to ensure the </w:t>
      </w:r>
      <w:r w:rsidRPr="00825EE1">
        <w:t>orthogonality</w:t>
      </w:r>
      <w:r>
        <w:t xml:space="preserve"> among a set of multiplexed UEs, the same frequency pattern should be ensured, e.g. same starting sub-carriers and same hopping pattern, which causes </w:t>
      </w:r>
      <w:r w:rsidRPr="00FD3E8E">
        <w:t xml:space="preserve">conspicuous </w:t>
      </w:r>
      <w:r>
        <w:t xml:space="preserve">spec impact. For one preamble repetition unit, same frequency pattern among UEs would be also better for the </w:t>
      </w:r>
      <w:r w:rsidRPr="00825EE1">
        <w:t>orthogonality</w:t>
      </w:r>
      <w:r>
        <w:t xml:space="preserve">, which causes scheduling restriction and spec impact. </w:t>
      </w:r>
    </w:p>
    <w:p w14:paraId="066B25D5" w14:textId="77777777" w:rsidR="0077076B" w:rsidRDefault="0077076B" w:rsidP="0077076B">
      <w:pPr>
        <w:spacing w:beforeLines="0" w:before="120" w:after="0"/>
        <w:rPr>
          <w:rFonts w:eastAsiaTheme="minorEastAsia"/>
          <w:lang w:eastAsia="zh-CN"/>
        </w:rPr>
      </w:pPr>
      <w:r>
        <w:rPr>
          <w:rFonts w:eastAsiaTheme="minorEastAsia"/>
          <w:lang w:eastAsia="zh-CN"/>
        </w:rPr>
        <w:t xml:space="preserve">Furthermore, </w:t>
      </w:r>
      <w:r>
        <w:rPr>
          <w:rFonts w:eastAsiaTheme="minorEastAsia" w:hint="eastAsia"/>
          <w:lang w:eastAsia="zh-CN"/>
        </w:rPr>
        <w:t>N</w:t>
      </w:r>
      <w:r>
        <w:rPr>
          <w:rFonts w:eastAsiaTheme="minorEastAsia"/>
          <w:lang w:eastAsia="zh-CN"/>
        </w:rPr>
        <w:t xml:space="preserve">PRACH is not bottle neck channel for UL capacity. </w:t>
      </w:r>
    </w:p>
    <w:p w14:paraId="57970657" w14:textId="77777777" w:rsidR="0077076B" w:rsidRPr="00E44D35" w:rsidRDefault="0077076B" w:rsidP="0077076B">
      <w:pPr>
        <w:spacing w:beforeLines="0" w:before="120" w:after="0"/>
      </w:pPr>
      <w:r>
        <w:lastRenderedPageBreak/>
        <w:t>Thus, c</w:t>
      </w:r>
      <w:r>
        <w:rPr>
          <w:rFonts w:eastAsiaTheme="minorEastAsia"/>
          <w:lang w:eastAsia="zh-CN"/>
        </w:rPr>
        <w:t xml:space="preserve">onsidering the workload and spec impact, uplink capacity enhancement via OCC for NPRACH could be de-prioritized in Rel-19 IoT NTN. </w:t>
      </w:r>
    </w:p>
    <w:p w14:paraId="57DB1507" w14:textId="77777777" w:rsidR="0077076B" w:rsidRDefault="0077076B" w:rsidP="0077076B">
      <w:pPr>
        <w:spacing w:beforeLines="0" w:before="120" w:after="0"/>
        <w:rPr>
          <w:rFonts w:eastAsiaTheme="minorEastAsia"/>
          <w:b/>
          <w:i/>
          <w:lang w:eastAsia="zh-CN"/>
        </w:rPr>
      </w:pPr>
      <w:r>
        <w:rPr>
          <w:rFonts w:eastAsiaTheme="minorEastAsia"/>
          <w:b/>
          <w:i/>
          <w:lang w:eastAsia="zh-CN"/>
        </w:rPr>
        <w:t>Observations 2: Frequency domain OCC is not applicable for NPRACH.</w:t>
      </w:r>
    </w:p>
    <w:p w14:paraId="0AC283F0" w14:textId="734E23C5" w:rsidR="0077076B" w:rsidRPr="003E4408" w:rsidRDefault="0077076B" w:rsidP="0077076B">
      <w:pPr>
        <w:spacing w:beforeLines="0" w:before="120" w:after="0"/>
        <w:rPr>
          <w:rFonts w:eastAsiaTheme="minorEastAsia"/>
          <w:b/>
          <w:i/>
          <w:lang w:eastAsia="zh-CN"/>
        </w:rPr>
      </w:pPr>
      <w:r w:rsidRPr="003E4408">
        <w:rPr>
          <w:rFonts w:eastAsiaTheme="minorEastAsia"/>
          <w:b/>
          <w:i/>
          <w:lang w:eastAsia="zh-CN"/>
        </w:rPr>
        <w:t>Proposal</w:t>
      </w:r>
      <w:r>
        <w:rPr>
          <w:rFonts w:eastAsiaTheme="minorEastAsia"/>
          <w:b/>
          <w:i/>
          <w:lang w:eastAsia="zh-CN"/>
        </w:rPr>
        <w:t xml:space="preserve"> 1</w:t>
      </w:r>
      <w:r w:rsidRPr="003E4408">
        <w:rPr>
          <w:rFonts w:eastAsiaTheme="minorEastAsia"/>
          <w:b/>
          <w:i/>
          <w:lang w:eastAsia="zh-CN"/>
        </w:rPr>
        <w:t xml:space="preserve">: </w:t>
      </w:r>
      <w:r w:rsidR="009039A9">
        <w:rPr>
          <w:rFonts w:eastAsiaTheme="minorEastAsia"/>
          <w:b/>
          <w:i/>
          <w:lang w:eastAsia="zh-CN"/>
        </w:rPr>
        <w:t>D</w:t>
      </w:r>
      <w:r w:rsidRPr="003E4408">
        <w:rPr>
          <w:rFonts w:eastAsiaTheme="minorEastAsia"/>
          <w:b/>
          <w:i/>
          <w:lang w:eastAsia="zh-CN"/>
        </w:rPr>
        <w:t>eprioritize NPRACH capacity enhancement</w:t>
      </w:r>
      <w:r>
        <w:rPr>
          <w:rFonts w:eastAsiaTheme="minorEastAsia"/>
          <w:b/>
          <w:i/>
          <w:lang w:eastAsia="zh-CN"/>
        </w:rPr>
        <w:t xml:space="preserve"> </w:t>
      </w:r>
      <w:r>
        <w:rPr>
          <w:rFonts w:eastAsiaTheme="minorEastAsia" w:hint="eastAsia"/>
          <w:b/>
          <w:i/>
          <w:lang w:eastAsia="zh-CN"/>
        </w:rPr>
        <w:t>v</w:t>
      </w:r>
      <w:r>
        <w:rPr>
          <w:rFonts w:eastAsiaTheme="minorEastAsia"/>
          <w:b/>
          <w:i/>
          <w:lang w:eastAsia="zh-CN"/>
        </w:rPr>
        <w:t>ia OCC</w:t>
      </w:r>
      <w:r w:rsidRPr="003E4408">
        <w:rPr>
          <w:rFonts w:eastAsiaTheme="minorEastAsia"/>
          <w:b/>
          <w:i/>
          <w:lang w:eastAsia="zh-CN"/>
        </w:rPr>
        <w:t xml:space="preserve"> in Rel-19 IoT NTN</w:t>
      </w:r>
      <w:r>
        <w:rPr>
          <w:rFonts w:eastAsiaTheme="minorEastAsia"/>
          <w:b/>
          <w:i/>
          <w:lang w:eastAsia="zh-CN"/>
        </w:rPr>
        <w:t xml:space="preserve">. </w:t>
      </w:r>
    </w:p>
    <w:p w14:paraId="634C5238" w14:textId="77777777" w:rsidR="0077076B" w:rsidRDefault="0077076B" w:rsidP="0077076B">
      <w:pPr>
        <w:spacing w:beforeLines="0" w:before="120" w:after="0"/>
        <w:rPr>
          <w:rFonts w:eastAsiaTheme="minorEastAsia"/>
          <w:lang w:eastAsia="zh-CN"/>
        </w:rPr>
      </w:pPr>
    </w:p>
    <w:p w14:paraId="01FB2BDA" w14:textId="77777777" w:rsidR="0077076B" w:rsidRDefault="0077076B" w:rsidP="0077076B">
      <w:pPr>
        <w:pStyle w:val="2"/>
        <w:spacing w:before="120"/>
        <w:rPr>
          <w:rFonts w:eastAsiaTheme="minorEastAsia"/>
          <w:lang w:eastAsia="zh-CN"/>
        </w:rPr>
      </w:pPr>
      <w:r>
        <w:rPr>
          <w:rFonts w:eastAsiaTheme="minorEastAsia" w:hint="eastAsia"/>
          <w:lang w:eastAsia="zh-CN"/>
        </w:rPr>
        <w:t>N</w:t>
      </w:r>
      <w:r>
        <w:rPr>
          <w:rFonts w:eastAsiaTheme="minorEastAsia"/>
          <w:lang w:eastAsia="zh-CN"/>
        </w:rPr>
        <w:t>PUSCH</w:t>
      </w:r>
    </w:p>
    <w:p w14:paraId="1BCE0731" w14:textId="1A97311A" w:rsidR="0077076B" w:rsidRDefault="0077076B" w:rsidP="0077076B">
      <w:pPr>
        <w:spacing w:beforeLines="0" w:before="120" w:after="0"/>
        <w:rPr>
          <w:rFonts w:eastAsiaTheme="minorEastAsia"/>
          <w:lang w:eastAsia="zh-CN"/>
        </w:rPr>
      </w:pPr>
      <w:r>
        <w:rPr>
          <w:rFonts w:eastAsiaTheme="minorEastAsia"/>
          <w:lang w:eastAsia="zh-CN"/>
        </w:rPr>
        <w:t xml:space="preserve">For NPUSCH format 1, both single tone and multi-tone could be considered for uplink capacity enhancement, and the supported combinations of sub-carriers spacing, number of sub-carriers in one RU and number of slots in one RU are listed as </w:t>
      </w:r>
      <w:r w:rsidR="003B43B1">
        <w:rPr>
          <w:rFonts w:eastAsiaTheme="minorEastAsia"/>
          <w:lang w:eastAsia="zh-CN"/>
        </w:rPr>
        <w:t>follows</w:t>
      </w:r>
      <w:r>
        <w:rPr>
          <w:rFonts w:eastAsiaTheme="minorEastAsia"/>
          <w:lang w:eastAsia="zh-CN"/>
        </w:rPr>
        <w:t xml:space="preserve">. </w:t>
      </w:r>
    </w:p>
    <w:p w14:paraId="49F690BC" w14:textId="77777777" w:rsidR="0077076B" w:rsidRDefault="0077076B" w:rsidP="0077076B">
      <w:pPr>
        <w:spacing w:beforeLines="0" w:before="120" w:after="0"/>
        <w:jc w:val="center"/>
        <w:rPr>
          <w:rFonts w:eastAsiaTheme="minorEastAsia"/>
          <w:lang w:eastAsia="zh-CN"/>
        </w:rPr>
      </w:pPr>
      <w:r>
        <w:rPr>
          <w:noProof/>
        </w:rPr>
        <w:drawing>
          <wp:inline distT="0" distB="0" distL="0" distR="0" wp14:anchorId="491743B1" wp14:editId="1C8CBEEF">
            <wp:extent cx="5077858" cy="1476977"/>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101944" cy="1483983"/>
                    </a:xfrm>
                    <a:prstGeom prst="rect">
                      <a:avLst/>
                    </a:prstGeom>
                  </pic:spPr>
                </pic:pic>
              </a:graphicData>
            </a:graphic>
          </wp:inline>
        </w:drawing>
      </w:r>
    </w:p>
    <w:p w14:paraId="131B540A" w14:textId="77777777" w:rsidR="0077076B" w:rsidRDefault="0077076B" w:rsidP="0077076B">
      <w:pPr>
        <w:spacing w:beforeLines="0" w:before="120" w:after="0"/>
        <w:rPr>
          <w:rFonts w:eastAsiaTheme="minorEastAsia"/>
          <w:lang w:eastAsia="zh-CN"/>
        </w:rPr>
      </w:pPr>
      <w:r>
        <w:rPr>
          <w:rFonts w:eastAsiaTheme="minorEastAsia"/>
          <w:lang w:eastAsia="zh-CN"/>
        </w:rPr>
        <w:t xml:space="preserve">For single-tone case, frequency domain OCC is not applicable, only time domain OCC could be considered. For multi-tone case, it is hard to apply unified frequency domain OCC design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configurable number of sub-carriers. Furthermore, to avoid excessive workload, unified design based on time domain OCC both for single-tone and multi-tone NPUSCH would be preferred. </w:t>
      </w:r>
    </w:p>
    <w:p w14:paraId="1A73D203" w14:textId="4A4B93D7" w:rsidR="0077076B" w:rsidRPr="003E4408" w:rsidRDefault="0077076B" w:rsidP="0077076B">
      <w:pPr>
        <w:spacing w:beforeLines="0" w:before="120" w:after="0"/>
        <w:rPr>
          <w:rFonts w:eastAsiaTheme="minorEastAsia"/>
          <w:b/>
          <w:i/>
          <w:lang w:eastAsia="zh-CN"/>
        </w:rPr>
      </w:pPr>
      <w:r w:rsidRPr="003E4408">
        <w:rPr>
          <w:rFonts w:eastAsiaTheme="minorEastAsia"/>
          <w:b/>
          <w:i/>
          <w:lang w:eastAsia="zh-CN"/>
        </w:rPr>
        <w:t>Proposal</w:t>
      </w:r>
      <w:r>
        <w:rPr>
          <w:rFonts w:eastAsiaTheme="minorEastAsia"/>
          <w:b/>
          <w:i/>
          <w:lang w:eastAsia="zh-CN"/>
        </w:rPr>
        <w:t xml:space="preserve"> 2</w:t>
      </w:r>
      <w:r w:rsidRPr="003E4408">
        <w:rPr>
          <w:rFonts w:eastAsiaTheme="minorEastAsia"/>
          <w:b/>
          <w:i/>
          <w:lang w:eastAsia="zh-CN"/>
        </w:rPr>
        <w:t>:</w:t>
      </w:r>
      <w:r w:rsidRPr="005613DD">
        <w:t xml:space="preserve"> </w:t>
      </w:r>
      <w:r w:rsidR="003B43B1" w:rsidRPr="00316E9B">
        <w:rPr>
          <w:rFonts w:eastAsiaTheme="minorEastAsia"/>
          <w:b/>
          <w:i/>
          <w:lang w:eastAsia="zh-CN"/>
        </w:rPr>
        <w:t xml:space="preserve">A </w:t>
      </w:r>
      <w:r w:rsidRPr="005613DD">
        <w:rPr>
          <w:rFonts w:eastAsiaTheme="minorEastAsia"/>
          <w:b/>
          <w:i/>
          <w:lang w:eastAsia="zh-CN"/>
        </w:rPr>
        <w:t xml:space="preserve">unified design </w:t>
      </w:r>
      <w:r>
        <w:rPr>
          <w:rFonts w:eastAsiaTheme="minorEastAsia"/>
          <w:b/>
          <w:i/>
          <w:lang w:eastAsia="zh-CN"/>
        </w:rPr>
        <w:t xml:space="preserve">based </w:t>
      </w:r>
      <w:r w:rsidRPr="005613DD">
        <w:rPr>
          <w:rFonts w:eastAsiaTheme="minorEastAsia"/>
          <w:b/>
          <w:i/>
          <w:lang w:eastAsia="zh-CN"/>
        </w:rPr>
        <w:t xml:space="preserve">on time domain OCC both for single-tone and multi-tone </w:t>
      </w:r>
      <w:r>
        <w:rPr>
          <w:rFonts w:eastAsiaTheme="minorEastAsia"/>
          <w:b/>
          <w:i/>
          <w:lang w:eastAsia="zh-CN"/>
        </w:rPr>
        <w:t xml:space="preserve">NPUSCH </w:t>
      </w:r>
      <w:r w:rsidR="003B43B1">
        <w:rPr>
          <w:rFonts w:eastAsiaTheme="minorEastAsia" w:hint="eastAsia"/>
          <w:b/>
          <w:i/>
          <w:lang w:eastAsia="zh-CN"/>
        </w:rPr>
        <w:t>is</w:t>
      </w:r>
      <w:r w:rsidRPr="005613DD">
        <w:rPr>
          <w:rFonts w:eastAsiaTheme="minorEastAsia"/>
          <w:b/>
          <w:i/>
          <w:lang w:eastAsia="zh-CN"/>
        </w:rPr>
        <w:t xml:space="preserve"> preferred</w:t>
      </w:r>
      <w:r>
        <w:rPr>
          <w:rFonts w:eastAsiaTheme="minorEastAsia"/>
          <w:b/>
          <w:i/>
          <w:lang w:eastAsia="zh-CN"/>
        </w:rPr>
        <w:t xml:space="preserve">. </w:t>
      </w:r>
    </w:p>
    <w:p w14:paraId="684C706A" w14:textId="77777777" w:rsidR="0077076B" w:rsidRDefault="0077076B" w:rsidP="0077076B">
      <w:pPr>
        <w:spacing w:beforeLines="0" w:before="120" w:after="0"/>
        <w:rPr>
          <w:rFonts w:eastAsiaTheme="minorEastAsia"/>
          <w:lang w:eastAsia="zh-CN"/>
        </w:rPr>
      </w:pPr>
    </w:p>
    <w:p w14:paraId="57817C9B" w14:textId="77777777" w:rsidR="0077076B" w:rsidRDefault="0077076B" w:rsidP="0077076B">
      <w:pPr>
        <w:spacing w:beforeLines="0" w:before="120" w:after="0"/>
        <w:rPr>
          <w:rFonts w:eastAsiaTheme="minorEastAsia"/>
          <w:lang w:eastAsia="zh-CN"/>
        </w:rPr>
      </w:pPr>
      <w:r>
        <w:rPr>
          <w:rFonts w:eastAsiaTheme="minorEastAsia"/>
          <w:lang w:eastAsia="zh-CN"/>
        </w:rPr>
        <w:t>Considering IoT NTN scenario likely with limited coverage, NPUSCH with repetition transmission would be common cases for IoT NTN. Therefore, UE multiplexing for capacity enhancement via time domain OCC should be supported when more than one repetition is indicated</w:t>
      </w:r>
      <w:r>
        <w:rPr>
          <w:rFonts w:eastAsiaTheme="minorEastAsia" w:hint="eastAsia"/>
          <w:lang w:eastAsia="zh-CN"/>
        </w:rPr>
        <w:t>/</w:t>
      </w:r>
      <w:r>
        <w:rPr>
          <w:rFonts w:eastAsiaTheme="minorEastAsia"/>
          <w:lang w:eastAsia="zh-CN"/>
        </w:rPr>
        <w:t>configured for NPUSCH format 1.</w:t>
      </w:r>
      <w:r>
        <w:rPr>
          <w:rFonts w:eastAsiaTheme="minorEastAsia" w:hint="eastAsia"/>
          <w:lang w:eastAsia="zh-CN"/>
        </w:rPr>
        <w:t xml:space="preserve"> </w:t>
      </w:r>
    </w:p>
    <w:p w14:paraId="1D9627F1" w14:textId="77777777" w:rsidR="0077076B" w:rsidRDefault="0077076B" w:rsidP="0077076B">
      <w:pPr>
        <w:spacing w:beforeLines="0" w:before="120" w:after="0"/>
        <w:rPr>
          <w:rFonts w:eastAsiaTheme="minorEastAsia"/>
          <w:lang w:eastAsia="zh-CN"/>
        </w:rPr>
      </w:pPr>
      <w:r>
        <w:rPr>
          <w:rFonts w:eastAsiaTheme="minorEastAsia"/>
          <w:lang w:eastAsia="zh-CN"/>
        </w:rPr>
        <w:t xml:space="preserve">The granularity of time domain OCC could be inter-symbol, inter-slot(s), inter-RV. For inter-symbol OCC, allocated symbol length and OCC sequence should be matched with each other, and DMRS symbols would also impact the application of OCC, thus it is not preferred. </w:t>
      </w:r>
      <w:r>
        <w:rPr>
          <w:rFonts w:eastAsiaTheme="minorEastAsia" w:hint="eastAsia"/>
          <w:lang w:eastAsia="zh-CN"/>
        </w:rPr>
        <w:t>F</w:t>
      </w:r>
      <w:r>
        <w:rPr>
          <w:rFonts w:eastAsiaTheme="minorEastAsia"/>
          <w:lang w:eastAsia="zh-CN"/>
        </w:rPr>
        <w:t>or inter-slot(s) OCC, same symbol allocation in one slot is applied across slots in one RU, and thus it would be simpler compared with inter-symbol OCC. If repetition transmission is enabled, a repe</w:t>
      </w:r>
      <w:r>
        <w:rPr>
          <w:rFonts w:eastAsiaTheme="minorEastAsia" w:hint="eastAsia"/>
          <w:lang w:eastAsia="zh-CN"/>
        </w:rPr>
        <w:t>ti</w:t>
      </w:r>
      <w:r>
        <w:rPr>
          <w:rFonts w:eastAsiaTheme="minorEastAsia"/>
          <w:lang w:eastAsia="zh-CN"/>
        </w:rPr>
        <w:t>tion unit may consist of several slots and inter slots OCC per repetition unit could also be considered. H</w:t>
      </w:r>
      <w:r>
        <w:rPr>
          <w:rFonts w:eastAsiaTheme="minorEastAsia" w:hint="eastAsia"/>
          <w:lang w:eastAsia="zh-CN"/>
        </w:rPr>
        <w:t>owever</w:t>
      </w:r>
      <w:r>
        <w:rPr>
          <w:rFonts w:eastAsiaTheme="minorEastAsia"/>
          <w:lang w:eastAsia="zh-CN"/>
        </w:rPr>
        <w:t xml:space="preserve">, considering the time-varying channel characteristics, a very long duration for one repetition unit is not expected for applying OCC as time errors accumulates over time and could deteriorate the </w:t>
      </w:r>
      <w:r w:rsidRPr="00825EE1">
        <w:t>orthogonality</w:t>
      </w:r>
      <w:r>
        <w:rPr>
          <w:rFonts w:eastAsiaTheme="minorEastAsia"/>
          <w:lang w:eastAsia="zh-CN"/>
        </w:rPr>
        <w:t xml:space="preserve">. For inter-RV OCC, applying OCC across slots with the same RV could be considered. </w:t>
      </w:r>
    </w:p>
    <w:p w14:paraId="24871607" w14:textId="77777777" w:rsidR="0077076B" w:rsidRPr="002830A7" w:rsidRDefault="0077076B" w:rsidP="0077076B">
      <w:pPr>
        <w:spacing w:beforeLines="0" w:before="120" w:after="0"/>
        <w:rPr>
          <w:rFonts w:eastAsiaTheme="minorEastAsia"/>
          <w:b/>
          <w:i/>
          <w:lang w:eastAsia="zh-CN"/>
        </w:rPr>
      </w:pPr>
      <w:r w:rsidRPr="002830A7">
        <w:rPr>
          <w:rFonts w:eastAsiaTheme="minorEastAsia"/>
          <w:b/>
          <w:i/>
          <w:lang w:eastAsia="zh-CN"/>
        </w:rPr>
        <w:t>Proposal</w:t>
      </w:r>
      <w:r>
        <w:rPr>
          <w:rFonts w:eastAsiaTheme="minorEastAsia"/>
          <w:b/>
          <w:i/>
          <w:lang w:eastAsia="zh-CN"/>
        </w:rPr>
        <w:t xml:space="preserve"> 3</w:t>
      </w:r>
      <w:r w:rsidRPr="002830A7">
        <w:rPr>
          <w:rFonts w:eastAsiaTheme="minorEastAsia"/>
          <w:b/>
          <w:i/>
          <w:lang w:eastAsia="zh-CN"/>
        </w:rPr>
        <w:t xml:space="preserve">: </w:t>
      </w:r>
      <w:r w:rsidRPr="00A553B2">
        <w:rPr>
          <w:rFonts w:eastAsiaTheme="minorEastAsia"/>
          <w:b/>
          <w:i/>
          <w:lang w:eastAsia="zh-CN"/>
        </w:rPr>
        <w:t>Inter-slot(s) OCC and inter-RV OCC could be considered for NPUSCH format 1.</w:t>
      </w:r>
    </w:p>
    <w:p w14:paraId="6D64DD56" w14:textId="77777777" w:rsidR="0077076B" w:rsidRPr="000E099E" w:rsidRDefault="0077076B" w:rsidP="0077076B">
      <w:pPr>
        <w:spacing w:beforeLines="0" w:before="120" w:after="0"/>
        <w:rPr>
          <w:rFonts w:eastAsiaTheme="minorEastAsia"/>
          <w:lang w:eastAsia="zh-CN"/>
        </w:rPr>
      </w:pPr>
    </w:p>
    <w:p w14:paraId="518C216E" w14:textId="77777777" w:rsidR="0077076B" w:rsidRDefault="0077076B" w:rsidP="0077076B">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07EB561A" w14:textId="77777777" w:rsidR="0077076B" w:rsidRDefault="0077076B" w:rsidP="0077076B">
      <w:pPr>
        <w:spacing w:before="120"/>
        <w:rPr>
          <w:rFonts w:eastAsia="宋体"/>
          <w:b/>
          <w:lang w:eastAsia="zh-CN"/>
        </w:rPr>
      </w:pPr>
      <w:r>
        <w:rPr>
          <w:rFonts w:eastAsia="宋体"/>
          <w:lang w:eastAsia="zh-CN"/>
        </w:rPr>
        <w:t xml:space="preserve">In this contribution, we </w:t>
      </w:r>
      <w:r>
        <w:rPr>
          <w:rFonts w:eastAsia="等线"/>
          <w:lang w:eastAsia="zh-CN"/>
        </w:rPr>
        <w:t xml:space="preserve">provide </w:t>
      </w:r>
      <w:r>
        <w:rPr>
          <w:rFonts w:eastAsia="宋体"/>
          <w:lang w:eastAsia="zh-CN"/>
        </w:rPr>
        <w:t>our views on</w:t>
      </w:r>
      <w:r>
        <w:rPr>
          <w:rFonts w:eastAsia="宋体"/>
          <w:lang w:val="en-GB" w:eastAsia="zh-CN"/>
        </w:rPr>
        <w:t xml:space="preserve"> IoT NTN uplink capacity enhancement. According to the discussions, we</w:t>
      </w:r>
      <w:r>
        <w:rPr>
          <w:rFonts w:eastAsia="宋体"/>
          <w:lang w:eastAsia="zh-CN"/>
        </w:rPr>
        <w:t xml:space="preserve"> have following observations and proposals: </w:t>
      </w:r>
    </w:p>
    <w:p w14:paraId="6A52CE74" w14:textId="77777777" w:rsidR="0077076B" w:rsidRDefault="0077076B" w:rsidP="0077076B">
      <w:pPr>
        <w:spacing w:beforeLines="100" w:before="240" w:after="0"/>
        <w:rPr>
          <w:rFonts w:eastAsiaTheme="minorEastAsia"/>
          <w:b/>
          <w:i/>
          <w:lang w:eastAsia="zh-CN"/>
        </w:rPr>
      </w:pPr>
      <w:r>
        <w:rPr>
          <w:rFonts w:eastAsiaTheme="minorEastAsia"/>
          <w:b/>
          <w:i/>
          <w:lang w:eastAsia="zh-CN"/>
        </w:rPr>
        <w:t>Observations 1:</w:t>
      </w:r>
      <w:r w:rsidRPr="0016186B">
        <w:rPr>
          <w:rFonts w:eastAsiaTheme="minorEastAsia"/>
          <w:b/>
          <w:i/>
          <w:lang w:eastAsia="zh-CN"/>
        </w:rPr>
        <w:t xml:space="preserve"> </w:t>
      </w:r>
      <w:r>
        <w:rPr>
          <w:rFonts w:eastAsiaTheme="minorEastAsia"/>
          <w:b/>
          <w:i/>
          <w:lang w:eastAsia="zh-CN"/>
        </w:rPr>
        <w:t xml:space="preserve">Only NPRACH format 0 and format 1 are considered for OCC multiplexing in R19 IoT </w:t>
      </w:r>
      <w:proofErr w:type="gramStart"/>
      <w:r>
        <w:rPr>
          <w:rFonts w:eastAsiaTheme="minorEastAsia"/>
          <w:b/>
          <w:i/>
          <w:lang w:eastAsia="zh-CN"/>
        </w:rPr>
        <w:t>NTN..</w:t>
      </w:r>
      <w:proofErr w:type="gramEnd"/>
    </w:p>
    <w:p w14:paraId="05C71C06" w14:textId="77777777" w:rsidR="0077076B" w:rsidRDefault="0077076B" w:rsidP="0077076B">
      <w:pPr>
        <w:spacing w:beforeLines="0" w:before="120" w:after="0"/>
        <w:rPr>
          <w:rFonts w:eastAsiaTheme="minorEastAsia"/>
          <w:b/>
          <w:i/>
          <w:lang w:eastAsia="zh-CN"/>
        </w:rPr>
      </w:pPr>
      <w:r>
        <w:rPr>
          <w:rFonts w:eastAsiaTheme="minorEastAsia"/>
          <w:b/>
          <w:i/>
          <w:lang w:eastAsia="zh-CN"/>
        </w:rPr>
        <w:t>Observations 2: Frequency domain OCC is not applicable for NPRACH.</w:t>
      </w:r>
    </w:p>
    <w:p w14:paraId="428ACA87" w14:textId="10841C91" w:rsidR="0077076B" w:rsidRDefault="0077076B" w:rsidP="0077076B">
      <w:pPr>
        <w:spacing w:beforeLines="0" w:before="120" w:after="0"/>
        <w:rPr>
          <w:rFonts w:eastAsiaTheme="minorEastAsia"/>
          <w:b/>
          <w:i/>
          <w:lang w:eastAsia="zh-CN"/>
        </w:rPr>
      </w:pPr>
      <w:r w:rsidRPr="003E4408">
        <w:rPr>
          <w:rFonts w:eastAsiaTheme="minorEastAsia"/>
          <w:b/>
          <w:i/>
          <w:lang w:eastAsia="zh-CN"/>
        </w:rPr>
        <w:t>Proposal</w:t>
      </w:r>
      <w:r>
        <w:rPr>
          <w:rFonts w:eastAsiaTheme="minorEastAsia"/>
          <w:b/>
          <w:i/>
          <w:lang w:eastAsia="zh-CN"/>
        </w:rPr>
        <w:t xml:space="preserve"> 1</w:t>
      </w:r>
      <w:r w:rsidRPr="003E4408">
        <w:rPr>
          <w:rFonts w:eastAsiaTheme="minorEastAsia"/>
          <w:b/>
          <w:i/>
          <w:lang w:eastAsia="zh-CN"/>
        </w:rPr>
        <w:t xml:space="preserve">: </w:t>
      </w:r>
      <w:r w:rsidR="006C15DF">
        <w:rPr>
          <w:rFonts w:eastAsiaTheme="minorEastAsia"/>
          <w:b/>
          <w:i/>
          <w:lang w:eastAsia="zh-CN"/>
        </w:rPr>
        <w:t>D</w:t>
      </w:r>
      <w:bookmarkStart w:id="7" w:name="_GoBack"/>
      <w:bookmarkEnd w:id="7"/>
      <w:r w:rsidRPr="003E4408">
        <w:rPr>
          <w:rFonts w:eastAsiaTheme="minorEastAsia"/>
          <w:b/>
          <w:i/>
          <w:lang w:eastAsia="zh-CN"/>
        </w:rPr>
        <w:t>eprioritize NPRACH capacity enhancement</w:t>
      </w:r>
      <w:r>
        <w:rPr>
          <w:rFonts w:eastAsiaTheme="minorEastAsia"/>
          <w:b/>
          <w:i/>
          <w:lang w:eastAsia="zh-CN"/>
        </w:rPr>
        <w:t xml:space="preserve"> via OCC</w:t>
      </w:r>
      <w:r w:rsidRPr="003E4408">
        <w:rPr>
          <w:rFonts w:eastAsiaTheme="minorEastAsia"/>
          <w:b/>
          <w:i/>
          <w:lang w:eastAsia="zh-CN"/>
        </w:rPr>
        <w:t xml:space="preserve"> in Rel-19 IoT NTN</w:t>
      </w:r>
      <w:r>
        <w:rPr>
          <w:rFonts w:eastAsiaTheme="minorEastAsia"/>
          <w:b/>
          <w:i/>
          <w:lang w:eastAsia="zh-CN"/>
        </w:rPr>
        <w:t xml:space="preserve">. </w:t>
      </w:r>
    </w:p>
    <w:p w14:paraId="6188674C" w14:textId="6C2783FC" w:rsidR="0077076B" w:rsidRPr="003E4408" w:rsidRDefault="0077076B" w:rsidP="0077076B">
      <w:pPr>
        <w:spacing w:beforeLines="0" w:before="120" w:after="0"/>
        <w:rPr>
          <w:rFonts w:eastAsiaTheme="minorEastAsia"/>
          <w:b/>
          <w:i/>
          <w:lang w:eastAsia="zh-CN"/>
        </w:rPr>
      </w:pPr>
      <w:r w:rsidRPr="003E4408">
        <w:rPr>
          <w:rFonts w:eastAsiaTheme="minorEastAsia"/>
          <w:b/>
          <w:i/>
          <w:lang w:eastAsia="zh-CN"/>
        </w:rPr>
        <w:t>Proposal</w:t>
      </w:r>
      <w:r>
        <w:rPr>
          <w:rFonts w:eastAsiaTheme="minorEastAsia"/>
          <w:b/>
          <w:i/>
          <w:lang w:eastAsia="zh-CN"/>
        </w:rPr>
        <w:t xml:space="preserve"> 2</w:t>
      </w:r>
      <w:r w:rsidRPr="003E4408">
        <w:rPr>
          <w:rFonts w:eastAsiaTheme="minorEastAsia"/>
          <w:b/>
          <w:i/>
          <w:lang w:eastAsia="zh-CN"/>
        </w:rPr>
        <w:t>:</w:t>
      </w:r>
      <w:r w:rsidRPr="005613DD">
        <w:t xml:space="preserve"> </w:t>
      </w:r>
      <w:r w:rsidR="00E940EC" w:rsidRPr="00316E9B">
        <w:rPr>
          <w:rFonts w:eastAsiaTheme="minorEastAsia"/>
          <w:b/>
          <w:i/>
          <w:lang w:eastAsia="zh-CN"/>
        </w:rPr>
        <w:t xml:space="preserve">A </w:t>
      </w:r>
      <w:r w:rsidR="00E940EC" w:rsidRPr="005613DD">
        <w:rPr>
          <w:rFonts w:eastAsiaTheme="minorEastAsia"/>
          <w:b/>
          <w:i/>
          <w:lang w:eastAsia="zh-CN"/>
        </w:rPr>
        <w:t xml:space="preserve">unified design </w:t>
      </w:r>
      <w:r w:rsidR="00E940EC">
        <w:rPr>
          <w:rFonts w:eastAsiaTheme="minorEastAsia"/>
          <w:b/>
          <w:i/>
          <w:lang w:eastAsia="zh-CN"/>
        </w:rPr>
        <w:t xml:space="preserve">based </w:t>
      </w:r>
      <w:r w:rsidR="00E940EC" w:rsidRPr="005613DD">
        <w:rPr>
          <w:rFonts w:eastAsiaTheme="minorEastAsia"/>
          <w:b/>
          <w:i/>
          <w:lang w:eastAsia="zh-CN"/>
        </w:rPr>
        <w:t xml:space="preserve">on time domain OCC both for single-tone and multi-tone </w:t>
      </w:r>
      <w:r w:rsidR="00E940EC">
        <w:rPr>
          <w:rFonts w:eastAsiaTheme="minorEastAsia"/>
          <w:b/>
          <w:i/>
          <w:lang w:eastAsia="zh-CN"/>
        </w:rPr>
        <w:t xml:space="preserve">NPUSCH </w:t>
      </w:r>
      <w:r w:rsidR="00E940EC">
        <w:rPr>
          <w:rFonts w:eastAsiaTheme="minorEastAsia" w:hint="eastAsia"/>
          <w:b/>
          <w:i/>
          <w:lang w:eastAsia="zh-CN"/>
        </w:rPr>
        <w:t>is</w:t>
      </w:r>
      <w:r w:rsidR="00E940EC" w:rsidRPr="005613DD">
        <w:rPr>
          <w:rFonts w:eastAsiaTheme="minorEastAsia"/>
          <w:b/>
          <w:i/>
          <w:lang w:eastAsia="zh-CN"/>
        </w:rPr>
        <w:t xml:space="preserve"> preferred</w:t>
      </w:r>
      <w:r w:rsidR="00E940EC">
        <w:rPr>
          <w:rFonts w:eastAsiaTheme="minorEastAsia"/>
          <w:b/>
          <w:i/>
          <w:lang w:eastAsia="zh-CN"/>
        </w:rPr>
        <w:t>.</w:t>
      </w:r>
    </w:p>
    <w:p w14:paraId="48EFA8AC" w14:textId="77777777" w:rsidR="0077076B" w:rsidRPr="002830A7" w:rsidRDefault="0077076B" w:rsidP="0077076B">
      <w:pPr>
        <w:spacing w:beforeLines="0" w:before="120" w:after="0"/>
        <w:rPr>
          <w:rFonts w:eastAsiaTheme="minorEastAsia"/>
          <w:b/>
          <w:i/>
          <w:lang w:eastAsia="zh-CN"/>
        </w:rPr>
      </w:pPr>
      <w:r w:rsidRPr="002830A7">
        <w:rPr>
          <w:rFonts w:eastAsiaTheme="minorEastAsia"/>
          <w:b/>
          <w:i/>
          <w:lang w:eastAsia="zh-CN"/>
        </w:rPr>
        <w:t>Proposal</w:t>
      </w:r>
      <w:r>
        <w:rPr>
          <w:rFonts w:eastAsiaTheme="minorEastAsia"/>
          <w:b/>
          <w:i/>
          <w:lang w:eastAsia="zh-CN"/>
        </w:rPr>
        <w:t xml:space="preserve"> 3</w:t>
      </w:r>
      <w:r w:rsidRPr="002830A7">
        <w:rPr>
          <w:rFonts w:eastAsiaTheme="minorEastAsia"/>
          <w:b/>
          <w:i/>
          <w:lang w:eastAsia="zh-CN"/>
        </w:rPr>
        <w:t xml:space="preserve">: </w:t>
      </w:r>
      <w:r w:rsidRPr="00A553B2">
        <w:rPr>
          <w:rFonts w:eastAsiaTheme="minorEastAsia"/>
          <w:b/>
          <w:i/>
          <w:lang w:eastAsia="zh-CN"/>
        </w:rPr>
        <w:t>Inter-slot(s) OCC and inter-RV OCC could be considered for NPUSCH format 1.</w:t>
      </w:r>
    </w:p>
    <w:p w14:paraId="2D26B510" w14:textId="77777777" w:rsidR="0077076B" w:rsidRDefault="0077076B" w:rsidP="0077076B">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References</w:t>
      </w:r>
    </w:p>
    <w:p w14:paraId="40FCF3D7" w14:textId="77777777" w:rsidR="0077076B" w:rsidRPr="001709AE" w:rsidRDefault="0077076B" w:rsidP="0077076B">
      <w:pPr>
        <w:pStyle w:val="a0"/>
        <w:numPr>
          <w:ilvl w:val="0"/>
          <w:numId w:val="6"/>
        </w:numPr>
        <w:snapToGrid w:val="0"/>
        <w:spacing w:before="120" w:line="268" w:lineRule="auto"/>
        <w:contextualSpacing/>
      </w:pPr>
      <w:bookmarkStart w:id="8" w:name="_Ref92304356"/>
      <w:bookmarkEnd w:id="2"/>
      <w:bookmarkEnd w:id="3"/>
      <w:bookmarkEnd w:id="4"/>
      <w:r w:rsidRPr="00A1132D">
        <w:rPr>
          <w:rFonts w:ascii="Times New Roman" w:hAnsi="Times New Roman"/>
          <w:color w:val="000000"/>
        </w:rPr>
        <w:t>RP</w:t>
      </w:r>
      <w:bookmarkEnd w:id="8"/>
      <w:r w:rsidRPr="00A1132D">
        <w:rPr>
          <w:rFonts w:ascii="Times New Roman" w:hAnsi="Times New Roman"/>
          <w:color w:val="000000"/>
        </w:rPr>
        <w:t>-</w:t>
      </w:r>
      <w:r w:rsidRPr="0028107C">
        <w:rPr>
          <w:rFonts w:ascii="Times New Roman" w:hAnsi="Times New Roman"/>
          <w:color w:val="000000"/>
        </w:rPr>
        <w:t>234078</w:t>
      </w:r>
      <w:r>
        <w:rPr>
          <w:rFonts w:ascii="Times New Roman" w:hAnsi="Times New Roman"/>
          <w:color w:val="000000"/>
        </w:rPr>
        <w:t>,</w:t>
      </w:r>
      <w:r w:rsidRPr="005E2FE1">
        <w:t xml:space="preserve"> </w:t>
      </w:r>
      <w:r w:rsidRPr="005E2FE1">
        <w:rPr>
          <w:rFonts w:ascii="Times New Roman" w:hAnsi="Times New Roman"/>
          <w:color w:val="000000"/>
        </w:rPr>
        <w:t>New WID: Non-Terrestrial Networks (NTN) for NR Phase 3</w:t>
      </w:r>
      <w:r>
        <w:rPr>
          <w:rFonts w:ascii="Times New Roman" w:hAnsi="Times New Roman"/>
          <w:color w:val="000000"/>
        </w:rPr>
        <w:t xml:space="preserve">, Huawei, </w:t>
      </w:r>
      <w:r w:rsidRPr="00C11578">
        <w:rPr>
          <w:rFonts w:ascii="Times New Roman" w:hAnsi="Times New Roman"/>
          <w:color w:val="000000"/>
        </w:rPr>
        <w:t>3GPP TSG RAN Meeting #102</w:t>
      </w:r>
      <w:r>
        <w:rPr>
          <w:rFonts w:ascii="Times New Roman" w:hAnsi="Times New Roman"/>
          <w:color w:val="000000"/>
        </w:rPr>
        <w:t xml:space="preserve">, </w:t>
      </w:r>
      <w:r w:rsidRPr="00C11578">
        <w:rPr>
          <w:rFonts w:ascii="Times New Roman" w:hAnsi="Times New Roman"/>
          <w:color w:val="000000"/>
        </w:rPr>
        <w:t>December 11-15, 2023</w:t>
      </w:r>
      <w:r>
        <w:rPr>
          <w:rFonts w:ascii="Times New Roman" w:hAnsi="Times New Roman"/>
          <w:color w:val="000000"/>
        </w:rPr>
        <w:t>.</w:t>
      </w:r>
    </w:p>
    <w:p w14:paraId="313377F2" w14:textId="2ECF9A31" w:rsidR="001709AE" w:rsidRPr="0077076B" w:rsidRDefault="001709AE" w:rsidP="0077076B">
      <w:pPr>
        <w:spacing w:before="120"/>
      </w:pPr>
    </w:p>
    <w:sectPr w:rsidR="001709AE" w:rsidRPr="0077076B" w:rsidSect="00C30248">
      <w:headerReference w:type="even" r:id="rId32"/>
      <w:headerReference w:type="default" r:id="rId33"/>
      <w:footerReference w:type="even" r:id="rId34"/>
      <w:footerReference w:type="default" r:id="rId35"/>
      <w:headerReference w:type="first" r:id="rId36"/>
      <w:footerReference w:type="first" r:id="rId37"/>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1F3B7CE" w16cex:dateUtc="2024-02-19T01: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5FF68" w14:textId="77777777" w:rsidR="006F6D27" w:rsidRDefault="006F6D27">
      <w:pPr>
        <w:spacing w:before="120" w:after="0"/>
      </w:pPr>
      <w:r>
        <w:separator/>
      </w:r>
    </w:p>
  </w:endnote>
  <w:endnote w:type="continuationSeparator" w:id="0">
    <w:p w14:paraId="4D1ACE03" w14:textId="77777777" w:rsidR="006F6D27" w:rsidRDefault="006F6D27">
      <w:pPr>
        <w:spacing w:before="120" w:after="0"/>
      </w:pPr>
      <w:r>
        <w:continuationSeparator/>
      </w:r>
    </w:p>
  </w:endnote>
  <w:endnote w:type="continuationNotice" w:id="1">
    <w:p w14:paraId="6D5242EF" w14:textId="77777777" w:rsidR="006F6D27" w:rsidRDefault="006F6D27">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4F183" w14:textId="77777777" w:rsidR="006F6D27" w:rsidRDefault="006F6D27">
      <w:pPr>
        <w:spacing w:before="120" w:after="0"/>
      </w:pPr>
      <w:r>
        <w:separator/>
      </w:r>
    </w:p>
  </w:footnote>
  <w:footnote w:type="continuationSeparator" w:id="0">
    <w:p w14:paraId="1D103BD8" w14:textId="77777777" w:rsidR="006F6D27" w:rsidRDefault="006F6D27">
      <w:pPr>
        <w:spacing w:before="120" w:after="0"/>
      </w:pPr>
      <w:r>
        <w:continuationSeparator/>
      </w:r>
    </w:p>
  </w:footnote>
  <w:footnote w:type="continuationNotice" w:id="1">
    <w:p w14:paraId="7E384C03" w14:textId="77777777" w:rsidR="006F6D27" w:rsidRDefault="006F6D2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C6F66" w:rsidRDefault="006C6F6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C6F66" w:rsidRDefault="006C6F6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5"/>
  </w:num>
  <w:num w:numId="3">
    <w:abstractNumId w:val="0"/>
  </w:num>
  <w:num w:numId="4">
    <w:abstractNumId w:val="4"/>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7B7"/>
    <w:rsid w:val="00003846"/>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F4A"/>
    <w:rsid w:val="000244C5"/>
    <w:rsid w:val="0002462D"/>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9EF"/>
    <w:rsid w:val="00031FE1"/>
    <w:rsid w:val="0003207A"/>
    <w:rsid w:val="00032729"/>
    <w:rsid w:val="00032856"/>
    <w:rsid w:val="00032D0A"/>
    <w:rsid w:val="00032E9A"/>
    <w:rsid w:val="00033130"/>
    <w:rsid w:val="000332AF"/>
    <w:rsid w:val="0003360B"/>
    <w:rsid w:val="00033B21"/>
    <w:rsid w:val="00033E5C"/>
    <w:rsid w:val="00034348"/>
    <w:rsid w:val="00034D50"/>
    <w:rsid w:val="00034E08"/>
    <w:rsid w:val="000356D3"/>
    <w:rsid w:val="000356E4"/>
    <w:rsid w:val="000357AC"/>
    <w:rsid w:val="000358D1"/>
    <w:rsid w:val="00035EF0"/>
    <w:rsid w:val="0003608A"/>
    <w:rsid w:val="000361DD"/>
    <w:rsid w:val="000363E8"/>
    <w:rsid w:val="00036944"/>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874"/>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0C7"/>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A8B"/>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504"/>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DE3"/>
    <w:rsid w:val="000C5F9A"/>
    <w:rsid w:val="000C6084"/>
    <w:rsid w:val="000C6303"/>
    <w:rsid w:val="000C65A9"/>
    <w:rsid w:val="000C6A1D"/>
    <w:rsid w:val="000C6C83"/>
    <w:rsid w:val="000C74B8"/>
    <w:rsid w:val="000C76C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15"/>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99E"/>
    <w:rsid w:val="000E0B54"/>
    <w:rsid w:val="000E0D8C"/>
    <w:rsid w:val="000E0E56"/>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4"/>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4DDE"/>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13E"/>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06AD"/>
    <w:rsid w:val="00121172"/>
    <w:rsid w:val="001211C7"/>
    <w:rsid w:val="0012155D"/>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500B"/>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27EFE"/>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5B"/>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D44"/>
    <w:rsid w:val="00144E7A"/>
    <w:rsid w:val="001450EC"/>
    <w:rsid w:val="001450FF"/>
    <w:rsid w:val="00145564"/>
    <w:rsid w:val="00145687"/>
    <w:rsid w:val="00145E42"/>
    <w:rsid w:val="001460A1"/>
    <w:rsid w:val="00146434"/>
    <w:rsid w:val="001464BE"/>
    <w:rsid w:val="00146577"/>
    <w:rsid w:val="001465D1"/>
    <w:rsid w:val="001466A4"/>
    <w:rsid w:val="00146EE8"/>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56A"/>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86B"/>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678"/>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ACB"/>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7497"/>
    <w:rsid w:val="001974A5"/>
    <w:rsid w:val="00197D3E"/>
    <w:rsid w:val="00197D62"/>
    <w:rsid w:val="00197F67"/>
    <w:rsid w:val="001A0034"/>
    <w:rsid w:val="001A03F5"/>
    <w:rsid w:val="001A0446"/>
    <w:rsid w:val="001A04CB"/>
    <w:rsid w:val="001A0607"/>
    <w:rsid w:val="001A0B7A"/>
    <w:rsid w:val="001A0D8F"/>
    <w:rsid w:val="001A0EE3"/>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6E2"/>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730"/>
    <w:rsid w:val="001C7A15"/>
    <w:rsid w:val="001C7F96"/>
    <w:rsid w:val="001D027B"/>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A1"/>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196"/>
    <w:rsid w:val="001E6A17"/>
    <w:rsid w:val="001E6D77"/>
    <w:rsid w:val="001E6E2B"/>
    <w:rsid w:val="001E73F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9AF"/>
    <w:rsid w:val="00211A0B"/>
    <w:rsid w:val="00211B19"/>
    <w:rsid w:val="00211CC3"/>
    <w:rsid w:val="00211EDC"/>
    <w:rsid w:val="0021233C"/>
    <w:rsid w:val="0021248D"/>
    <w:rsid w:val="002124DA"/>
    <w:rsid w:val="002129B0"/>
    <w:rsid w:val="00212D3A"/>
    <w:rsid w:val="0021377F"/>
    <w:rsid w:val="00213AB2"/>
    <w:rsid w:val="00213BA5"/>
    <w:rsid w:val="00214191"/>
    <w:rsid w:val="00214812"/>
    <w:rsid w:val="002149A6"/>
    <w:rsid w:val="00214AF1"/>
    <w:rsid w:val="00214AFB"/>
    <w:rsid w:val="00215295"/>
    <w:rsid w:val="0021531D"/>
    <w:rsid w:val="00215446"/>
    <w:rsid w:val="0021554F"/>
    <w:rsid w:val="00215C4F"/>
    <w:rsid w:val="00215ED0"/>
    <w:rsid w:val="0021627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DA0"/>
    <w:rsid w:val="00225E6C"/>
    <w:rsid w:val="00225EDD"/>
    <w:rsid w:val="002266C1"/>
    <w:rsid w:val="00226B68"/>
    <w:rsid w:val="00226CF6"/>
    <w:rsid w:val="00226D8B"/>
    <w:rsid w:val="00226DC1"/>
    <w:rsid w:val="00226E4C"/>
    <w:rsid w:val="00226F63"/>
    <w:rsid w:val="0022707C"/>
    <w:rsid w:val="002276F1"/>
    <w:rsid w:val="00227BDB"/>
    <w:rsid w:val="00227F9D"/>
    <w:rsid w:val="0023000E"/>
    <w:rsid w:val="0023000F"/>
    <w:rsid w:val="002300EC"/>
    <w:rsid w:val="00230170"/>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5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47837"/>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01F"/>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3B8"/>
    <w:rsid w:val="0027643E"/>
    <w:rsid w:val="002766EF"/>
    <w:rsid w:val="00276D4E"/>
    <w:rsid w:val="00276E5C"/>
    <w:rsid w:val="00276F5A"/>
    <w:rsid w:val="00277539"/>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3FCD"/>
    <w:rsid w:val="00294143"/>
    <w:rsid w:val="002942F7"/>
    <w:rsid w:val="002946AF"/>
    <w:rsid w:val="0029480B"/>
    <w:rsid w:val="00294D51"/>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A9F"/>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246"/>
    <w:rsid w:val="002B5311"/>
    <w:rsid w:val="002B533E"/>
    <w:rsid w:val="002B57CE"/>
    <w:rsid w:val="002B5BBC"/>
    <w:rsid w:val="002B5DF2"/>
    <w:rsid w:val="002B62B1"/>
    <w:rsid w:val="002B6429"/>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AD7"/>
    <w:rsid w:val="002C1043"/>
    <w:rsid w:val="002C15FF"/>
    <w:rsid w:val="002C1BA4"/>
    <w:rsid w:val="002C1BD4"/>
    <w:rsid w:val="002C1E06"/>
    <w:rsid w:val="002C22DA"/>
    <w:rsid w:val="002C235A"/>
    <w:rsid w:val="002C2551"/>
    <w:rsid w:val="002C2AA8"/>
    <w:rsid w:val="002C2BB9"/>
    <w:rsid w:val="002C2C21"/>
    <w:rsid w:val="002C2F42"/>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007"/>
    <w:rsid w:val="002C7911"/>
    <w:rsid w:val="002C7CE9"/>
    <w:rsid w:val="002D07C5"/>
    <w:rsid w:val="002D09E4"/>
    <w:rsid w:val="002D0A27"/>
    <w:rsid w:val="002D0A95"/>
    <w:rsid w:val="002D0D92"/>
    <w:rsid w:val="002D107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0E3"/>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1F"/>
    <w:rsid w:val="0032615D"/>
    <w:rsid w:val="00326469"/>
    <w:rsid w:val="0032683A"/>
    <w:rsid w:val="003268AF"/>
    <w:rsid w:val="00326986"/>
    <w:rsid w:val="00326A7A"/>
    <w:rsid w:val="0032701E"/>
    <w:rsid w:val="0032709C"/>
    <w:rsid w:val="00327487"/>
    <w:rsid w:val="0032791F"/>
    <w:rsid w:val="00327BC9"/>
    <w:rsid w:val="00327C2C"/>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21E3"/>
    <w:rsid w:val="0034232C"/>
    <w:rsid w:val="003425F4"/>
    <w:rsid w:val="00342983"/>
    <w:rsid w:val="00342F3F"/>
    <w:rsid w:val="0034336A"/>
    <w:rsid w:val="003437D1"/>
    <w:rsid w:val="0034389A"/>
    <w:rsid w:val="0034413A"/>
    <w:rsid w:val="0034426F"/>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F2"/>
    <w:rsid w:val="003548A0"/>
    <w:rsid w:val="003548BC"/>
    <w:rsid w:val="003548E6"/>
    <w:rsid w:val="00354D18"/>
    <w:rsid w:val="00354DB8"/>
    <w:rsid w:val="00354E0D"/>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03F"/>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67BDD"/>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103"/>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38F6"/>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1389"/>
    <w:rsid w:val="003B1638"/>
    <w:rsid w:val="003B2FC1"/>
    <w:rsid w:val="003B344A"/>
    <w:rsid w:val="003B39F7"/>
    <w:rsid w:val="003B3CBB"/>
    <w:rsid w:val="003B3CC5"/>
    <w:rsid w:val="003B3F0A"/>
    <w:rsid w:val="003B43B1"/>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D4C"/>
    <w:rsid w:val="003E719C"/>
    <w:rsid w:val="003E7F9B"/>
    <w:rsid w:val="003F001C"/>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295E"/>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368"/>
    <w:rsid w:val="003F64F3"/>
    <w:rsid w:val="003F656D"/>
    <w:rsid w:val="003F65E6"/>
    <w:rsid w:val="003F6B07"/>
    <w:rsid w:val="003F707C"/>
    <w:rsid w:val="003F70CB"/>
    <w:rsid w:val="003F74DE"/>
    <w:rsid w:val="003F7C6E"/>
    <w:rsid w:val="0040060A"/>
    <w:rsid w:val="00400B6B"/>
    <w:rsid w:val="00400F29"/>
    <w:rsid w:val="00400F37"/>
    <w:rsid w:val="0040116D"/>
    <w:rsid w:val="00401370"/>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300"/>
    <w:rsid w:val="00435545"/>
    <w:rsid w:val="00435D68"/>
    <w:rsid w:val="00435DDE"/>
    <w:rsid w:val="00435DFB"/>
    <w:rsid w:val="0043603A"/>
    <w:rsid w:val="004363C5"/>
    <w:rsid w:val="00436533"/>
    <w:rsid w:val="004366B4"/>
    <w:rsid w:val="0043694A"/>
    <w:rsid w:val="00436A31"/>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802"/>
    <w:rsid w:val="00451E00"/>
    <w:rsid w:val="00451FC6"/>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17"/>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07B"/>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67A42"/>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AFF"/>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9ED"/>
    <w:rsid w:val="00492EDE"/>
    <w:rsid w:val="0049327F"/>
    <w:rsid w:val="00493587"/>
    <w:rsid w:val="00493E6D"/>
    <w:rsid w:val="00493FF6"/>
    <w:rsid w:val="00494081"/>
    <w:rsid w:val="00494DEF"/>
    <w:rsid w:val="0049598C"/>
    <w:rsid w:val="00495A95"/>
    <w:rsid w:val="00495B08"/>
    <w:rsid w:val="00495D9C"/>
    <w:rsid w:val="00496850"/>
    <w:rsid w:val="0049688B"/>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4EA"/>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4D1"/>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198"/>
    <w:rsid w:val="004D443F"/>
    <w:rsid w:val="004D45B5"/>
    <w:rsid w:val="004D47E5"/>
    <w:rsid w:val="004D4BAC"/>
    <w:rsid w:val="004D4D0F"/>
    <w:rsid w:val="004D4EA7"/>
    <w:rsid w:val="004D565A"/>
    <w:rsid w:val="004D578C"/>
    <w:rsid w:val="004D57F0"/>
    <w:rsid w:val="004D5B28"/>
    <w:rsid w:val="004D602D"/>
    <w:rsid w:val="004D60F8"/>
    <w:rsid w:val="004D6168"/>
    <w:rsid w:val="004D61C8"/>
    <w:rsid w:val="004D684C"/>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036"/>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3EF"/>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C6"/>
    <w:rsid w:val="00513EE8"/>
    <w:rsid w:val="005142DA"/>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E50"/>
    <w:rsid w:val="00520F59"/>
    <w:rsid w:val="00520FBE"/>
    <w:rsid w:val="00521075"/>
    <w:rsid w:val="005215C7"/>
    <w:rsid w:val="005217BF"/>
    <w:rsid w:val="00521847"/>
    <w:rsid w:val="00521FD8"/>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3FA"/>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AC8"/>
    <w:rsid w:val="00532D9F"/>
    <w:rsid w:val="00532E94"/>
    <w:rsid w:val="00533043"/>
    <w:rsid w:val="00533380"/>
    <w:rsid w:val="00533860"/>
    <w:rsid w:val="005338E6"/>
    <w:rsid w:val="0053434F"/>
    <w:rsid w:val="005343F2"/>
    <w:rsid w:val="005344F2"/>
    <w:rsid w:val="005345B5"/>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912"/>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3DD"/>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8AB"/>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0F8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64E"/>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18"/>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594"/>
    <w:rsid w:val="00636715"/>
    <w:rsid w:val="00636AFB"/>
    <w:rsid w:val="00636F36"/>
    <w:rsid w:val="00636F5D"/>
    <w:rsid w:val="00637094"/>
    <w:rsid w:val="006371B0"/>
    <w:rsid w:val="0063732B"/>
    <w:rsid w:val="006375C4"/>
    <w:rsid w:val="00637700"/>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E3E"/>
    <w:rsid w:val="00647F84"/>
    <w:rsid w:val="006501BA"/>
    <w:rsid w:val="00650396"/>
    <w:rsid w:val="0065082C"/>
    <w:rsid w:val="0065204B"/>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64F"/>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A2F"/>
    <w:rsid w:val="00666B2A"/>
    <w:rsid w:val="00666BE4"/>
    <w:rsid w:val="0066708C"/>
    <w:rsid w:val="00667408"/>
    <w:rsid w:val="00667AA4"/>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0F87"/>
    <w:rsid w:val="0068102A"/>
    <w:rsid w:val="00681460"/>
    <w:rsid w:val="0068162A"/>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4EB"/>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021"/>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863"/>
    <w:rsid w:val="006B05CA"/>
    <w:rsid w:val="006B06E1"/>
    <w:rsid w:val="006B080A"/>
    <w:rsid w:val="006B09ED"/>
    <w:rsid w:val="006B1294"/>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5DF"/>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B1A"/>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55B0"/>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237"/>
    <w:rsid w:val="006F467E"/>
    <w:rsid w:val="006F5154"/>
    <w:rsid w:val="006F5187"/>
    <w:rsid w:val="006F57DE"/>
    <w:rsid w:val="006F5CB5"/>
    <w:rsid w:val="006F5F0F"/>
    <w:rsid w:val="006F622C"/>
    <w:rsid w:val="006F6CD0"/>
    <w:rsid w:val="006F6D27"/>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D9D"/>
    <w:rsid w:val="00721EB7"/>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285"/>
    <w:rsid w:val="007343A4"/>
    <w:rsid w:val="00734851"/>
    <w:rsid w:val="00734869"/>
    <w:rsid w:val="00734B8E"/>
    <w:rsid w:val="00735018"/>
    <w:rsid w:val="0073536F"/>
    <w:rsid w:val="00735891"/>
    <w:rsid w:val="007358C4"/>
    <w:rsid w:val="00735D34"/>
    <w:rsid w:val="007365D2"/>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D42"/>
    <w:rsid w:val="00741E50"/>
    <w:rsid w:val="007424EB"/>
    <w:rsid w:val="00742579"/>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9D"/>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75D"/>
    <w:rsid w:val="00795E9C"/>
    <w:rsid w:val="00796602"/>
    <w:rsid w:val="0079665E"/>
    <w:rsid w:val="00796CD0"/>
    <w:rsid w:val="00797305"/>
    <w:rsid w:val="00797336"/>
    <w:rsid w:val="00797452"/>
    <w:rsid w:val="0079781B"/>
    <w:rsid w:val="00797A27"/>
    <w:rsid w:val="00797B6D"/>
    <w:rsid w:val="00797C4B"/>
    <w:rsid w:val="00797C91"/>
    <w:rsid w:val="00797F32"/>
    <w:rsid w:val="00797FCE"/>
    <w:rsid w:val="007A0976"/>
    <w:rsid w:val="007A2522"/>
    <w:rsid w:val="007A2E9C"/>
    <w:rsid w:val="007A2FAD"/>
    <w:rsid w:val="007A355F"/>
    <w:rsid w:val="007A38FF"/>
    <w:rsid w:val="007A3A61"/>
    <w:rsid w:val="007A3AC5"/>
    <w:rsid w:val="007A3ECF"/>
    <w:rsid w:val="007A3F35"/>
    <w:rsid w:val="007A43A0"/>
    <w:rsid w:val="007A45A4"/>
    <w:rsid w:val="007A470B"/>
    <w:rsid w:val="007A4F5B"/>
    <w:rsid w:val="007A5162"/>
    <w:rsid w:val="007A5194"/>
    <w:rsid w:val="007A52BA"/>
    <w:rsid w:val="007A57AA"/>
    <w:rsid w:val="007A59C8"/>
    <w:rsid w:val="007A5F56"/>
    <w:rsid w:val="007A613A"/>
    <w:rsid w:val="007A65D1"/>
    <w:rsid w:val="007A66E0"/>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008"/>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02B"/>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2DE"/>
    <w:rsid w:val="007F05EB"/>
    <w:rsid w:val="007F0B81"/>
    <w:rsid w:val="007F0EBE"/>
    <w:rsid w:val="007F0F43"/>
    <w:rsid w:val="007F10B7"/>
    <w:rsid w:val="007F11B2"/>
    <w:rsid w:val="007F1C1E"/>
    <w:rsid w:val="007F1E3E"/>
    <w:rsid w:val="007F1E45"/>
    <w:rsid w:val="007F203A"/>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76"/>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EE1"/>
    <w:rsid w:val="00825F55"/>
    <w:rsid w:val="008263C1"/>
    <w:rsid w:val="0082669E"/>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23EF"/>
    <w:rsid w:val="00832408"/>
    <w:rsid w:val="00832A76"/>
    <w:rsid w:val="00832C8D"/>
    <w:rsid w:val="00832DBC"/>
    <w:rsid w:val="00833322"/>
    <w:rsid w:val="00833754"/>
    <w:rsid w:val="00833AAA"/>
    <w:rsid w:val="00833E8E"/>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37E85"/>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5C8"/>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09F3"/>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0CE"/>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D22"/>
    <w:rsid w:val="008A6EB4"/>
    <w:rsid w:val="008A7090"/>
    <w:rsid w:val="008A7A41"/>
    <w:rsid w:val="008A7CC5"/>
    <w:rsid w:val="008A7D39"/>
    <w:rsid w:val="008A7DF7"/>
    <w:rsid w:val="008A7F5B"/>
    <w:rsid w:val="008B0008"/>
    <w:rsid w:val="008B02D6"/>
    <w:rsid w:val="008B037E"/>
    <w:rsid w:val="008B03BE"/>
    <w:rsid w:val="008B078B"/>
    <w:rsid w:val="008B07D7"/>
    <w:rsid w:val="008B09BE"/>
    <w:rsid w:val="008B0DD3"/>
    <w:rsid w:val="008B0FDA"/>
    <w:rsid w:val="008B1392"/>
    <w:rsid w:val="008B13B8"/>
    <w:rsid w:val="008B1F2C"/>
    <w:rsid w:val="008B2274"/>
    <w:rsid w:val="008B2309"/>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48A"/>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4F9"/>
    <w:rsid w:val="008E15BC"/>
    <w:rsid w:val="008E193F"/>
    <w:rsid w:val="008E1EC9"/>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361B"/>
    <w:rsid w:val="009039A9"/>
    <w:rsid w:val="009039F3"/>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07B5F"/>
    <w:rsid w:val="00910355"/>
    <w:rsid w:val="00910496"/>
    <w:rsid w:val="009104EB"/>
    <w:rsid w:val="0091080C"/>
    <w:rsid w:val="009112DE"/>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4EB"/>
    <w:rsid w:val="009418F9"/>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3C"/>
    <w:rsid w:val="00947A9E"/>
    <w:rsid w:val="00947D46"/>
    <w:rsid w:val="00947EC8"/>
    <w:rsid w:val="0095008D"/>
    <w:rsid w:val="00950296"/>
    <w:rsid w:val="009506C5"/>
    <w:rsid w:val="009506EC"/>
    <w:rsid w:val="00950CB4"/>
    <w:rsid w:val="00950D21"/>
    <w:rsid w:val="00950D79"/>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7EB"/>
    <w:rsid w:val="00974E24"/>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208"/>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577"/>
    <w:rsid w:val="009B4650"/>
    <w:rsid w:val="009B482D"/>
    <w:rsid w:val="009B4B85"/>
    <w:rsid w:val="009B4DC2"/>
    <w:rsid w:val="009B50AD"/>
    <w:rsid w:val="009B558E"/>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CCC"/>
    <w:rsid w:val="009E256D"/>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0E"/>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CD7"/>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679"/>
    <w:rsid w:val="00A03FED"/>
    <w:rsid w:val="00A04414"/>
    <w:rsid w:val="00A047E6"/>
    <w:rsid w:val="00A04D3A"/>
    <w:rsid w:val="00A050F5"/>
    <w:rsid w:val="00A0558C"/>
    <w:rsid w:val="00A05821"/>
    <w:rsid w:val="00A05FF8"/>
    <w:rsid w:val="00A05FFA"/>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BA9"/>
    <w:rsid w:val="00A25D9D"/>
    <w:rsid w:val="00A25E3E"/>
    <w:rsid w:val="00A25EF7"/>
    <w:rsid w:val="00A25FC0"/>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40"/>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5F3"/>
    <w:rsid w:val="00A3768D"/>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C08"/>
    <w:rsid w:val="00A451E1"/>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75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CF"/>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A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E48"/>
    <w:rsid w:val="00AD5EC4"/>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143"/>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453"/>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457"/>
    <w:rsid w:val="00B01944"/>
    <w:rsid w:val="00B01BF5"/>
    <w:rsid w:val="00B021D4"/>
    <w:rsid w:val="00B02323"/>
    <w:rsid w:val="00B023D0"/>
    <w:rsid w:val="00B0288A"/>
    <w:rsid w:val="00B028CE"/>
    <w:rsid w:val="00B02AA5"/>
    <w:rsid w:val="00B02BCD"/>
    <w:rsid w:val="00B02E15"/>
    <w:rsid w:val="00B0308D"/>
    <w:rsid w:val="00B030F0"/>
    <w:rsid w:val="00B03152"/>
    <w:rsid w:val="00B03838"/>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83"/>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6D67"/>
    <w:rsid w:val="00B2729F"/>
    <w:rsid w:val="00B273CA"/>
    <w:rsid w:val="00B276FA"/>
    <w:rsid w:val="00B27B60"/>
    <w:rsid w:val="00B301F4"/>
    <w:rsid w:val="00B302C3"/>
    <w:rsid w:val="00B3073F"/>
    <w:rsid w:val="00B31466"/>
    <w:rsid w:val="00B3177D"/>
    <w:rsid w:val="00B317C5"/>
    <w:rsid w:val="00B3193B"/>
    <w:rsid w:val="00B31D58"/>
    <w:rsid w:val="00B31D6B"/>
    <w:rsid w:val="00B31EE0"/>
    <w:rsid w:val="00B32014"/>
    <w:rsid w:val="00B32112"/>
    <w:rsid w:val="00B321F7"/>
    <w:rsid w:val="00B32588"/>
    <w:rsid w:val="00B326FA"/>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181"/>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42"/>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161"/>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C9F"/>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4ED4"/>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9"/>
    <w:rsid w:val="00BC3615"/>
    <w:rsid w:val="00BC37F3"/>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80F"/>
    <w:rsid w:val="00BC6C3A"/>
    <w:rsid w:val="00BC6D96"/>
    <w:rsid w:val="00BC719D"/>
    <w:rsid w:val="00BC7745"/>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494"/>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B50"/>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73B"/>
    <w:rsid w:val="00C239B9"/>
    <w:rsid w:val="00C23E5B"/>
    <w:rsid w:val="00C23F44"/>
    <w:rsid w:val="00C2442D"/>
    <w:rsid w:val="00C2447A"/>
    <w:rsid w:val="00C249B5"/>
    <w:rsid w:val="00C249C3"/>
    <w:rsid w:val="00C24FB4"/>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63B"/>
    <w:rsid w:val="00C45D69"/>
    <w:rsid w:val="00C4606A"/>
    <w:rsid w:val="00C46126"/>
    <w:rsid w:val="00C463C0"/>
    <w:rsid w:val="00C46531"/>
    <w:rsid w:val="00C466D7"/>
    <w:rsid w:val="00C46899"/>
    <w:rsid w:val="00C468D9"/>
    <w:rsid w:val="00C46CEF"/>
    <w:rsid w:val="00C4700A"/>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A51"/>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608"/>
    <w:rsid w:val="00C62D3B"/>
    <w:rsid w:val="00C63496"/>
    <w:rsid w:val="00C63497"/>
    <w:rsid w:val="00C63515"/>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67D97"/>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2F5"/>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20"/>
    <w:rsid w:val="00C94C39"/>
    <w:rsid w:val="00C94C67"/>
    <w:rsid w:val="00C94E11"/>
    <w:rsid w:val="00C9566F"/>
    <w:rsid w:val="00C95767"/>
    <w:rsid w:val="00C96DAD"/>
    <w:rsid w:val="00C96E1A"/>
    <w:rsid w:val="00C9771B"/>
    <w:rsid w:val="00C97A5F"/>
    <w:rsid w:val="00C97A70"/>
    <w:rsid w:val="00C97CA0"/>
    <w:rsid w:val="00C97DD1"/>
    <w:rsid w:val="00C97E42"/>
    <w:rsid w:val="00CA0107"/>
    <w:rsid w:val="00CA0370"/>
    <w:rsid w:val="00CA0D53"/>
    <w:rsid w:val="00CA0F00"/>
    <w:rsid w:val="00CA109A"/>
    <w:rsid w:val="00CA11F5"/>
    <w:rsid w:val="00CA1685"/>
    <w:rsid w:val="00CA177A"/>
    <w:rsid w:val="00CA1CB0"/>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AD"/>
    <w:rsid w:val="00CA45B7"/>
    <w:rsid w:val="00CA4610"/>
    <w:rsid w:val="00CA46C9"/>
    <w:rsid w:val="00CA4A05"/>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C7771"/>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CE"/>
    <w:rsid w:val="00CD4393"/>
    <w:rsid w:val="00CD44B7"/>
    <w:rsid w:val="00CD49BD"/>
    <w:rsid w:val="00CD4B48"/>
    <w:rsid w:val="00CD5955"/>
    <w:rsid w:val="00CD5AD0"/>
    <w:rsid w:val="00CD5E00"/>
    <w:rsid w:val="00CD66D7"/>
    <w:rsid w:val="00CD6BB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468"/>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CE"/>
    <w:rsid w:val="00D270B7"/>
    <w:rsid w:val="00D27241"/>
    <w:rsid w:val="00D2725B"/>
    <w:rsid w:val="00D272BA"/>
    <w:rsid w:val="00D27472"/>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37FD0"/>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CFC"/>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A59"/>
    <w:rsid w:val="00D64D26"/>
    <w:rsid w:val="00D64D56"/>
    <w:rsid w:val="00D64F2C"/>
    <w:rsid w:val="00D650F5"/>
    <w:rsid w:val="00D65436"/>
    <w:rsid w:val="00D65A73"/>
    <w:rsid w:val="00D65B02"/>
    <w:rsid w:val="00D66235"/>
    <w:rsid w:val="00D66674"/>
    <w:rsid w:val="00D66AF4"/>
    <w:rsid w:val="00D66BA0"/>
    <w:rsid w:val="00D66E97"/>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4AF"/>
    <w:rsid w:val="00D74585"/>
    <w:rsid w:val="00D74715"/>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77E"/>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5F59"/>
    <w:rsid w:val="00D9602E"/>
    <w:rsid w:val="00D96197"/>
    <w:rsid w:val="00D96967"/>
    <w:rsid w:val="00D96D02"/>
    <w:rsid w:val="00D96EBB"/>
    <w:rsid w:val="00D97395"/>
    <w:rsid w:val="00DA007D"/>
    <w:rsid w:val="00DA09C0"/>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29A"/>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5D4E"/>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70E"/>
    <w:rsid w:val="00DF513B"/>
    <w:rsid w:val="00DF5299"/>
    <w:rsid w:val="00DF5675"/>
    <w:rsid w:val="00DF5736"/>
    <w:rsid w:val="00DF5A7B"/>
    <w:rsid w:val="00DF5FC1"/>
    <w:rsid w:val="00DF5FFD"/>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02"/>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045"/>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35"/>
    <w:rsid w:val="00E10437"/>
    <w:rsid w:val="00E1046A"/>
    <w:rsid w:val="00E10477"/>
    <w:rsid w:val="00E105E3"/>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946"/>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2EA5"/>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86"/>
    <w:rsid w:val="00E426EA"/>
    <w:rsid w:val="00E427CF"/>
    <w:rsid w:val="00E42942"/>
    <w:rsid w:val="00E42CA3"/>
    <w:rsid w:val="00E42D05"/>
    <w:rsid w:val="00E42E5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968"/>
    <w:rsid w:val="00E70E38"/>
    <w:rsid w:val="00E70E45"/>
    <w:rsid w:val="00E70EB2"/>
    <w:rsid w:val="00E71211"/>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EC3"/>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97"/>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0EC"/>
    <w:rsid w:val="00E9438F"/>
    <w:rsid w:val="00E94E67"/>
    <w:rsid w:val="00E952ED"/>
    <w:rsid w:val="00E955D8"/>
    <w:rsid w:val="00E95F7D"/>
    <w:rsid w:val="00E95FEF"/>
    <w:rsid w:val="00E9601E"/>
    <w:rsid w:val="00E9638E"/>
    <w:rsid w:val="00E96498"/>
    <w:rsid w:val="00E968D1"/>
    <w:rsid w:val="00E97124"/>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B3"/>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DE3"/>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9DC"/>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9A8"/>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3E88"/>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278"/>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E57"/>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7DB"/>
    <w:rsid w:val="00FA094A"/>
    <w:rsid w:val="00FA101A"/>
    <w:rsid w:val="00FA1569"/>
    <w:rsid w:val="00FA19AC"/>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557"/>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DB6"/>
    <w:rsid w:val="00FD227D"/>
    <w:rsid w:val="00FD2328"/>
    <w:rsid w:val="00FD2B4E"/>
    <w:rsid w:val="00FD2DD4"/>
    <w:rsid w:val="00FD3204"/>
    <w:rsid w:val="00FD33AC"/>
    <w:rsid w:val="00FD33DF"/>
    <w:rsid w:val="00FD3B79"/>
    <w:rsid w:val="00FD3E8E"/>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620"/>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175"/>
    <w:rsid w:val="00FE4224"/>
    <w:rsid w:val="00FE4B41"/>
    <w:rsid w:val="00FE4E69"/>
    <w:rsid w:val="00FE51BB"/>
    <w:rsid w:val="00FE545E"/>
    <w:rsid w:val="00FE5797"/>
    <w:rsid w:val="00FE588B"/>
    <w:rsid w:val="00FE5ABF"/>
    <w:rsid w:val="00FE5AF3"/>
    <w:rsid w:val="00FE60C2"/>
    <w:rsid w:val="00FE6145"/>
    <w:rsid w:val="00FE67CF"/>
    <w:rsid w:val="00FE68A4"/>
    <w:rsid w:val="00FE69D1"/>
    <w:rsid w:val="00FE69FB"/>
    <w:rsid w:val="00FE73D4"/>
    <w:rsid w:val="00FE75DE"/>
    <w:rsid w:val="00FE7885"/>
    <w:rsid w:val="00FE7972"/>
    <w:rsid w:val="00FE79AD"/>
    <w:rsid w:val="00FE7A9B"/>
    <w:rsid w:val="00FE7C9D"/>
    <w:rsid w:val="00FE7E42"/>
    <w:rsid w:val="00FE7E4A"/>
    <w:rsid w:val="00FE7F96"/>
    <w:rsid w:val="00FE7FCF"/>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4FE"/>
    <w:rsid w:val="00FF55DD"/>
    <w:rsid w:val="00FF565E"/>
    <w:rsid w:val="00FF5A00"/>
    <w:rsid w:val="00FF5C80"/>
    <w:rsid w:val="00FF62EB"/>
    <w:rsid w:val="00FF630A"/>
    <w:rsid w:val="00FF641D"/>
    <w:rsid w:val="00FF6937"/>
    <w:rsid w:val="00FF6CDD"/>
    <w:rsid w:val="00FF6D5F"/>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12.wmf"/><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11.wmf"/><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w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7.png"/><Relationship Id="rId44"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emf"/><Relationship Id="rId35"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1EF3A3E5-42CC-468F-9A0E-1844ECC9B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6285</TotalTime>
  <Pages>4</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vivo-Yong Wang</cp:lastModifiedBy>
  <cp:revision>2430</cp:revision>
  <dcterms:created xsi:type="dcterms:W3CDTF">2022-04-29T11:53:00Z</dcterms:created>
  <dcterms:modified xsi:type="dcterms:W3CDTF">2024-02-19T10:59:00Z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ies>
</file>